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BC" w:rsidRPr="00AF2F20" w:rsidRDefault="00176EBC" w:rsidP="00176EBC">
      <w:pPr>
        <w:jc w:val="center"/>
        <w:rPr>
          <w:rFonts w:asciiTheme="majorEastAsia" w:eastAsiaTheme="majorEastAsia" w:hAnsiTheme="majorEastAsia"/>
          <w:b/>
          <w:sz w:val="24"/>
          <w:szCs w:val="24"/>
        </w:rPr>
      </w:pPr>
      <w:bookmarkStart w:id="0" w:name="_GoBack"/>
      <w:bookmarkEnd w:id="0"/>
      <w:r w:rsidRPr="00AF2F20">
        <w:rPr>
          <w:rFonts w:asciiTheme="majorEastAsia" w:eastAsiaTheme="majorEastAsia" w:hAnsiTheme="majorEastAsia" w:hint="eastAsia"/>
          <w:b/>
          <w:sz w:val="24"/>
          <w:szCs w:val="24"/>
        </w:rPr>
        <w:t>指定管理者申請時の提案内容について（概要）</w:t>
      </w:r>
      <w:r w:rsidRPr="00AF2F20">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A86A7C9" wp14:editId="6ADF727B">
                <wp:simplePos x="0" y="0"/>
                <wp:positionH relativeFrom="column">
                  <wp:posOffset>13124312</wp:posOffset>
                </wp:positionH>
                <wp:positionV relativeFrom="paragraph">
                  <wp:posOffset>21293</wp:posOffset>
                </wp:positionV>
                <wp:extent cx="1200150" cy="495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001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EBC" w:rsidRDefault="00176EBC" w:rsidP="00176EBC">
                            <w:pPr>
                              <w:jc w:val="center"/>
                              <w:rPr>
                                <w:rFonts w:asciiTheme="majorEastAsia" w:eastAsiaTheme="majorEastAsia" w:hAnsiTheme="majorEastAsia"/>
                                <w:sz w:val="28"/>
                              </w:rPr>
                            </w:pPr>
                            <w:r>
                              <w:rPr>
                                <w:rFonts w:asciiTheme="majorEastAsia" w:eastAsiaTheme="majorEastAsia" w:hAnsiTheme="majorEastAsia" w:hint="eastAsia"/>
                                <w:sz w:val="28"/>
                              </w:rPr>
                              <w:t>資料</w:t>
                            </w:r>
                            <w:r w:rsidR="003E2991">
                              <w:rPr>
                                <w:rFonts w:asciiTheme="majorEastAsia" w:eastAsiaTheme="majorEastAsia" w:hAnsiTheme="majorEastAsia" w:hint="eastAsia"/>
                                <w:sz w:val="28"/>
                              </w:rPr>
                              <w:t>５</w:t>
                            </w:r>
                          </w:p>
                          <w:p w:rsidR="00093A03" w:rsidRPr="006A0979" w:rsidRDefault="00093A03" w:rsidP="00093A03">
                            <w:pPr>
                              <w:rPr>
                                <w:rFonts w:asciiTheme="majorEastAsia" w:eastAsiaTheme="majorEastAsia" w:hAnsiTheme="majorEastAsia"/>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86A7C9" id="_x0000_t202" coordsize="21600,21600" o:spt="202" path="m,l,21600r21600,l21600,xe">
                <v:stroke joinstyle="miter"/>
                <v:path gradientshapeok="t" o:connecttype="rect"/>
              </v:shapetype>
              <v:shape id="テキスト ボックス 1" o:spid="_x0000_s1026" type="#_x0000_t202" style="position:absolute;left:0;text-align:left;margin-left:1033.4pt;margin-top:1.7pt;width:94.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" fillcolor="white [3201]" strokeweight=".5pt">
                <v:textbox>
                  <w:txbxContent>
                    <w:p w:rsidR="00176EBC" w:rsidRDefault="00176EBC" w:rsidP="00176EBC">
                      <w:pPr>
                        <w:jc w:val="center"/>
                        <w:rPr>
                          <w:rFonts w:asciiTheme="majorEastAsia" w:eastAsiaTheme="majorEastAsia" w:hAnsiTheme="majorEastAsia"/>
                          <w:sz w:val="28"/>
                        </w:rPr>
                      </w:pPr>
                      <w:r>
                        <w:rPr>
                          <w:rFonts w:asciiTheme="majorEastAsia" w:eastAsiaTheme="majorEastAsia" w:hAnsiTheme="majorEastAsia" w:hint="eastAsia"/>
                          <w:sz w:val="28"/>
                        </w:rPr>
                        <w:t>資料</w:t>
                      </w:r>
                      <w:r w:rsidR="003E2991">
                        <w:rPr>
                          <w:rFonts w:asciiTheme="majorEastAsia" w:eastAsiaTheme="majorEastAsia" w:hAnsiTheme="majorEastAsia" w:hint="eastAsia"/>
                          <w:sz w:val="28"/>
                        </w:rPr>
                        <w:t>５</w:t>
                      </w:r>
                    </w:p>
                    <w:p w:rsidR="00093A03" w:rsidRPr="006A0979" w:rsidRDefault="00093A03" w:rsidP="00093A03">
                      <w:pPr>
                        <w:rPr>
                          <w:rFonts w:asciiTheme="majorEastAsia" w:eastAsiaTheme="majorEastAsia" w:hAnsiTheme="majorEastAsia"/>
                          <w:sz w:val="28"/>
                        </w:rPr>
                      </w:pPr>
                    </w:p>
                  </w:txbxContent>
                </v:textbox>
              </v:shape>
            </w:pict>
          </mc:Fallback>
        </mc:AlternateContent>
      </w:r>
    </w:p>
    <w:tbl>
      <w:tblPr>
        <w:tblStyle w:val="a3"/>
        <w:tblW w:w="0" w:type="auto"/>
        <w:tblLook w:val="04A0" w:firstRow="1" w:lastRow="0" w:firstColumn="1" w:lastColumn="0" w:noHBand="0" w:noVBand="1"/>
      </w:tblPr>
      <w:tblGrid>
        <w:gridCol w:w="4786"/>
        <w:gridCol w:w="5670"/>
        <w:gridCol w:w="5387"/>
        <w:gridCol w:w="4536"/>
      </w:tblGrid>
      <w:tr w:rsidR="00176EBC" w:rsidRPr="00AF2F20" w:rsidTr="00691EB8">
        <w:trPr>
          <w:trHeight w:val="484"/>
        </w:trPr>
        <w:tc>
          <w:tcPr>
            <w:tcW w:w="4786" w:type="dxa"/>
            <w:vAlign w:val="center"/>
          </w:tcPr>
          <w:p w:rsidR="00176EBC" w:rsidRPr="00AF2F20" w:rsidRDefault="00176EBC" w:rsidP="00691EB8">
            <w:pPr>
              <w:rPr>
                <w:rFonts w:asciiTheme="majorEastAsia" w:eastAsiaTheme="majorEastAsia" w:hAnsiTheme="majorEastAsia"/>
              </w:rPr>
            </w:pPr>
            <w:r w:rsidRPr="00AF2F20">
              <w:rPr>
                <w:rFonts w:asciiTheme="majorEastAsia" w:eastAsiaTheme="majorEastAsia" w:hAnsiTheme="majorEastAsia" w:hint="eastAsia"/>
              </w:rPr>
              <w:t>施設名称：大阪府中央卸売市場</w:t>
            </w:r>
          </w:p>
        </w:tc>
        <w:tc>
          <w:tcPr>
            <w:tcW w:w="5670" w:type="dxa"/>
            <w:vAlign w:val="center"/>
          </w:tcPr>
          <w:p w:rsidR="00176EBC" w:rsidRPr="00AF2F20" w:rsidRDefault="00176EBC" w:rsidP="00691EB8">
            <w:pPr>
              <w:rPr>
                <w:rFonts w:asciiTheme="majorEastAsia" w:eastAsiaTheme="majorEastAsia" w:hAnsiTheme="majorEastAsia"/>
              </w:rPr>
            </w:pPr>
            <w:r w:rsidRPr="00AF2F20">
              <w:rPr>
                <w:rFonts w:asciiTheme="majorEastAsia" w:eastAsiaTheme="majorEastAsia" w:hAnsiTheme="majorEastAsia" w:hint="eastAsia"/>
              </w:rPr>
              <w:t>指定管理者：大阪府中央卸売市場管理センター株式会社</w:t>
            </w:r>
          </w:p>
        </w:tc>
        <w:tc>
          <w:tcPr>
            <w:tcW w:w="5387" w:type="dxa"/>
            <w:vAlign w:val="center"/>
          </w:tcPr>
          <w:p w:rsidR="00176EBC" w:rsidRPr="00AF2F20" w:rsidRDefault="00176EBC" w:rsidP="00691EB8">
            <w:pPr>
              <w:rPr>
                <w:rFonts w:asciiTheme="majorEastAsia" w:eastAsiaTheme="majorEastAsia" w:hAnsiTheme="majorEastAsia"/>
              </w:rPr>
            </w:pPr>
            <w:r w:rsidRPr="00AF2F20">
              <w:rPr>
                <w:rFonts w:asciiTheme="majorEastAsia" w:eastAsiaTheme="majorEastAsia" w:hAnsiTheme="majorEastAsia" w:hint="eastAsia"/>
              </w:rPr>
              <w:t>指定期間：平成29年4月1</w:t>
            </w:r>
            <w:r w:rsidR="004A0C49">
              <w:rPr>
                <w:rFonts w:asciiTheme="majorEastAsia" w:eastAsiaTheme="majorEastAsia" w:hAnsiTheme="majorEastAsia" w:hint="eastAsia"/>
              </w:rPr>
              <w:t>日～令和</w:t>
            </w:r>
            <w:r w:rsidRPr="00AF2F20">
              <w:rPr>
                <w:rFonts w:asciiTheme="majorEastAsia" w:eastAsiaTheme="majorEastAsia" w:hAnsiTheme="majorEastAsia" w:hint="eastAsia"/>
              </w:rPr>
              <w:t>4年3月31日</w:t>
            </w:r>
          </w:p>
        </w:tc>
        <w:tc>
          <w:tcPr>
            <w:tcW w:w="4536" w:type="dxa"/>
            <w:vAlign w:val="center"/>
          </w:tcPr>
          <w:p w:rsidR="00176EBC" w:rsidRPr="00AF2F20" w:rsidRDefault="00176EBC" w:rsidP="00691EB8">
            <w:pPr>
              <w:rPr>
                <w:rFonts w:asciiTheme="majorEastAsia" w:eastAsiaTheme="majorEastAsia" w:hAnsiTheme="majorEastAsia"/>
              </w:rPr>
            </w:pPr>
            <w:r w:rsidRPr="00AF2F20">
              <w:rPr>
                <w:rFonts w:asciiTheme="majorEastAsia" w:eastAsiaTheme="majorEastAsia" w:hAnsiTheme="majorEastAsia" w:hint="eastAsia"/>
              </w:rPr>
              <w:t>所管課：環境農林水産部　中央卸売市場</w:t>
            </w:r>
          </w:p>
        </w:tc>
      </w:tr>
    </w:tbl>
    <w:p w:rsidR="00BC3D24" w:rsidRPr="00AF2F20" w:rsidRDefault="00BC3D24">
      <w:pPr>
        <w:rPr>
          <w:rFonts w:asciiTheme="majorEastAsia" w:eastAsiaTheme="majorEastAsia" w:hAnsiTheme="majorEastAsia"/>
        </w:rPr>
      </w:pPr>
    </w:p>
    <w:tbl>
      <w:tblPr>
        <w:tblStyle w:val="a3"/>
        <w:tblW w:w="0" w:type="auto"/>
        <w:tblLook w:val="04A0" w:firstRow="1" w:lastRow="0" w:firstColumn="1" w:lastColumn="0" w:noHBand="0" w:noVBand="1"/>
      </w:tblPr>
      <w:tblGrid>
        <w:gridCol w:w="675"/>
        <w:gridCol w:w="2127"/>
        <w:gridCol w:w="3543"/>
        <w:gridCol w:w="16227"/>
      </w:tblGrid>
      <w:tr w:rsidR="00176EBC" w:rsidRPr="00AF2F20" w:rsidTr="00C330D9">
        <w:trPr>
          <w:trHeight w:val="609"/>
        </w:trPr>
        <w:tc>
          <w:tcPr>
            <w:tcW w:w="2802" w:type="dxa"/>
            <w:gridSpan w:val="2"/>
            <w:shd w:val="clear" w:color="auto" w:fill="DBE5F1" w:themeFill="accent1" w:themeFillTint="33"/>
            <w:vAlign w:val="center"/>
          </w:tcPr>
          <w:p w:rsidR="00176EBC" w:rsidRPr="00AF2F20" w:rsidRDefault="00176EBC" w:rsidP="00176EBC">
            <w:pPr>
              <w:jc w:val="center"/>
              <w:rPr>
                <w:rFonts w:asciiTheme="majorEastAsia" w:eastAsiaTheme="majorEastAsia" w:hAnsiTheme="majorEastAsia"/>
              </w:rPr>
            </w:pPr>
            <w:r w:rsidRPr="00AF2F20">
              <w:rPr>
                <w:rFonts w:asciiTheme="majorEastAsia" w:eastAsiaTheme="majorEastAsia" w:hAnsiTheme="majorEastAsia" w:hint="eastAsia"/>
              </w:rPr>
              <w:t>評価項目</w:t>
            </w:r>
          </w:p>
        </w:tc>
        <w:tc>
          <w:tcPr>
            <w:tcW w:w="3543" w:type="dxa"/>
            <w:shd w:val="clear" w:color="auto" w:fill="DBE5F1" w:themeFill="accent1" w:themeFillTint="33"/>
            <w:vAlign w:val="center"/>
          </w:tcPr>
          <w:p w:rsidR="00176EBC" w:rsidRPr="00AF2F20" w:rsidRDefault="00176EBC" w:rsidP="00176EBC">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176EBC" w:rsidRPr="00AF2F20" w:rsidRDefault="00176EBC" w:rsidP="00176EBC">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E30037" w:rsidRPr="00AF2F20" w:rsidTr="009D2AC4">
        <w:trPr>
          <w:trHeight w:val="561"/>
        </w:trPr>
        <w:tc>
          <w:tcPr>
            <w:tcW w:w="675" w:type="dxa"/>
            <w:vMerge w:val="restart"/>
            <w:shd w:val="clear" w:color="auto" w:fill="D9D9D9" w:themeFill="background1" w:themeFillShade="D9"/>
            <w:textDirection w:val="tbRlV"/>
            <w:vAlign w:val="center"/>
          </w:tcPr>
          <w:p w:rsidR="00E30037" w:rsidRPr="00AF2F20" w:rsidRDefault="00E30037" w:rsidP="00E30037">
            <w:pPr>
              <w:ind w:left="113" w:right="113"/>
              <w:jc w:val="center"/>
              <w:rPr>
                <w:rFonts w:asciiTheme="majorEastAsia" w:eastAsiaTheme="majorEastAsia" w:hAnsiTheme="majorEastAsia"/>
                <w:b/>
              </w:rPr>
            </w:pPr>
            <w:r w:rsidRPr="00AF2F20">
              <w:rPr>
                <w:rFonts w:asciiTheme="majorEastAsia" w:eastAsiaTheme="majorEastAsia" w:hAnsiTheme="majorEastAsia" w:hint="eastAsia"/>
                <w:b/>
              </w:rPr>
              <w:t>Ⅰ提案の履行状況に関する項目</w:t>
            </w:r>
            <w:r w:rsidR="00AF2F20" w:rsidRPr="00AF2F20">
              <w:rPr>
                <w:rFonts w:asciiTheme="majorEastAsia" w:eastAsiaTheme="majorEastAsia" w:hAnsiTheme="majorEastAsia" w:hint="eastAsia"/>
                <w:b/>
              </w:rPr>
              <w:t>①</w:t>
            </w:r>
          </w:p>
        </w:tc>
        <w:tc>
          <w:tcPr>
            <w:tcW w:w="2127" w:type="dxa"/>
            <w:vMerge w:val="restart"/>
            <w:vAlign w:val="center"/>
          </w:tcPr>
          <w:p w:rsidR="00E30037" w:rsidRPr="00AF2F20" w:rsidRDefault="00E30037" w:rsidP="00E30037">
            <w:pPr>
              <w:jc w:val="center"/>
              <w:rPr>
                <w:rFonts w:asciiTheme="majorEastAsia" w:eastAsiaTheme="majorEastAsia" w:hAnsiTheme="majorEastAsia"/>
              </w:rPr>
            </w:pPr>
            <w:r w:rsidRPr="00AF2F20">
              <w:rPr>
                <w:rFonts w:asciiTheme="majorEastAsia" w:eastAsiaTheme="majorEastAsia" w:hAnsiTheme="majorEastAsia" w:hint="eastAsia"/>
              </w:rPr>
              <w:t>(1)施設の設置目的及び管理運営方針</w:t>
            </w: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●施設の設置目的に沿った運営</w:t>
            </w:r>
          </w:p>
        </w:tc>
        <w:tc>
          <w:tcPr>
            <w:tcW w:w="16227" w:type="dxa"/>
            <w:vMerge w:val="restart"/>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・常駐代表者会議の場などを十分に活用しながら、市場内関係者が一体となって市場の管理運営や市場活性化事業に取り組む</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・民間会社の強みを十分に発揮し、効率的で効果的な執行に努める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・業務委託業者との粘り強い交渉により、サービス水準を低下させることなく一層の節減に努める</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●管理運営の効率化と迅速な対応</w:t>
            </w:r>
          </w:p>
        </w:tc>
        <w:tc>
          <w:tcPr>
            <w:tcW w:w="16227" w:type="dxa"/>
            <w:vMerge/>
            <w:vAlign w:val="center"/>
          </w:tcPr>
          <w:p w:rsidR="00E30037" w:rsidRPr="00AF2F20" w:rsidRDefault="00E30037" w:rsidP="00C330D9">
            <w:pPr>
              <w:rPr>
                <w:rFonts w:asciiTheme="majorEastAsia" w:eastAsiaTheme="majorEastAsia" w:hAnsiTheme="majorEastAsia"/>
              </w:rPr>
            </w:pP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●法令遵守の徹底と危機管理への対応</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○コンプライアンス</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全社員が正しいコンプライアンスの知識と理解をもって、卸売市場法、業務規程等の市場関連法令、社内規則、会社理念、ビジョンの遵守はもとより、社会を構成する一員として社会的ルールを守り、判断し、行動するよう、全社的に内部統制の強化を図る</w:t>
            </w:r>
          </w:p>
          <w:p w:rsidR="00E30037" w:rsidRPr="00AF2F20" w:rsidRDefault="00E30037" w:rsidP="00C330D9">
            <w:pPr>
              <w:rPr>
                <w:rFonts w:asciiTheme="majorEastAsia" w:eastAsiaTheme="majorEastAsia" w:hAnsiTheme="majorEastAsia"/>
              </w:rPr>
            </w:pP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○個人情報</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・幹部職員を個人情報保護責任者に任命し、法令順守に努め、場内業者等の企業秘密について適切な管理に努める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・委託業務について、個人情報の保護に係る条項を契約に盛り込み、適正な管理を行う</w:t>
            </w:r>
          </w:p>
          <w:p w:rsidR="00E30037" w:rsidRPr="00AF2F20" w:rsidRDefault="00E30037" w:rsidP="00C330D9">
            <w:pPr>
              <w:rPr>
                <w:rFonts w:asciiTheme="majorEastAsia" w:eastAsiaTheme="majorEastAsia" w:hAnsiTheme="majorEastAsia"/>
              </w:rPr>
            </w:pP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○危機管理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・緊急連絡体制を整備し、必要に応じ昼夜を問わず直ちに出勤する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・防火・防災管理者の指揮のもと、消防機関の協力を得て平時から消防・防災訓練を実施</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●外注計画に基づく業務の発注</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①警備業務　　　　　　　　　　　　 </w:t>
            </w:r>
            <w:r w:rsidR="00D50589">
              <w:rPr>
                <w:rFonts w:asciiTheme="majorEastAsia" w:eastAsiaTheme="majorEastAsia" w:hAnsiTheme="majorEastAsia" w:hint="eastAsia"/>
              </w:rPr>
              <w:t xml:space="preserve"> </w:t>
            </w:r>
            <w:r w:rsidRPr="00AF2F20">
              <w:rPr>
                <w:rFonts w:asciiTheme="majorEastAsia" w:eastAsiaTheme="majorEastAsia" w:hAnsiTheme="majorEastAsia" w:hint="eastAsia"/>
              </w:rPr>
              <w:t>予定価格  4,018万円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②設備管理業務　　　　　　　　　　 </w:t>
            </w:r>
            <w:r w:rsidR="00D50589">
              <w:rPr>
                <w:rFonts w:asciiTheme="majorEastAsia" w:eastAsiaTheme="majorEastAsia" w:hAnsiTheme="majorEastAsia" w:hint="eastAsia"/>
              </w:rPr>
              <w:t xml:space="preserve"> </w:t>
            </w:r>
            <w:r w:rsidRPr="00AF2F20">
              <w:rPr>
                <w:rFonts w:asciiTheme="majorEastAsia" w:eastAsiaTheme="majorEastAsia" w:hAnsiTheme="majorEastAsia" w:hint="eastAsia"/>
              </w:rPr>
              <w:t>予定価格</w:t>
            </w:r>
            <w:r w:rsidR="00D50589">
              <w:rPr>
                <w:rFonts w:asciiTheme="majorEastAsia" w:eastAsiaTheme="majorEastAsia" w:hAnsiTheme="majorEastAsia" w:hint="eastAsia"/>
              </w:rPr>
              <w:t xml:space="preserve"> </w:t>
            </w:r>
            <w:r w:rsidRPr="00AF2F20">
              <w:rPr>
                <w:rFonts w:asciiTheme="majorEastAsia" w:eastAsiaTheme="majorEastAsia" w:hAnsiTheme="majorEastAsia" w:hint="eastAsia"/>
              </w:rPr>
              <w:t>13,264万円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③清掃業務　　　　　　　　　　　　  予定価格  4,142万円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④廃棄物処理業務　　　　　　　　　　予定価格</w:t>
            </w:r>
            <w:r w:rsidR="00D50589">
              <w:rPr>
                <w:rFonts w:asciiTheme="majorEastAsia" w:eastAsiaTheme="majorEastAsia" w:hAnsiTheme="majorEastAsia" w:hint="eastAsia"/>
              </w:rPr>
              <w:t xml:space="preserve"> </w:t>
            </w:r>
            <w:r w:rsidRPr="00AF2F20">
              <w:rPr>
                <w:rFonts w:asciiTheme="majorEastAsia" w:eastAsiaTheme="majorEastAsia" w:hAnsiTheme="majorEastAsia" w:hint="eastAsia"/>
              </w:rPr>
              <w:t>19,658万円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⑤建築物環境衛生管理業務　　　　　　予定価格    214万円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⑥鳥獣害防止業務　　　　　　　　　　予定価格    152万円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⑦その他委託業務　　　　　　　　　　予定価格    720万円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  ・市場流通状況調査集計演算業務</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  ・圧力洗浄散水車リース　など</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●市場の生鮮物流拠点機能の強化のため、荷捌きスペースの拡充などが図られているか</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交通の結節点に位置し、広大な敷地を有する府市場の立地条件の優位性を十分に発揮しながら、集荷・文荷機能の強化や他市場への商品の転送機能の強化のため、場内関係者で構成される「競争力強化研究会」の提言も踏まえ、産地等からの遠距離トラックの待機場所や、荷捌き場所の確保についてハード・ソフト面から環境整備を図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・転送用トラックが利用しやすいよう条件整備を図る</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restart"/>
            <w:vAlign w:val="center"/>
          </w:tcPr>
          <w:p w:rsidR="00E30037" w:rsidRPr="00AF2F20" w:rsidRDefault="00E30037" w:rsidP="00E30037">
            <w:pPr>
              <w:jc w:val="center"/>
              <w:rPr>
                <w:rFonts w:asciiTheme="majorEastAsia" w:eastAsiaTheme="majorEastAsia" w:hAnsiTheme="majorEastAsia"/>
              </w:rPr>
            </w:pPr>
            <w:r w:rsidRPr="00AF2F20">
              <w:rPr>
                <w:rFonts w:asciiTheme="majorEastAsia" w:eastAsiaTheme="majorEastAsia" w:hAnsiTheme="majorEastAsia" w:hint="eastAsia"/>
              </w:rPr>
              <w:t>(2)平等な利用を図るための具体的手法</w:t>
            </w: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●施設の使用許可は、公平公正に行われているか</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○市場施設の使用許可</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・業務規程、関係法令等に基づき平等・公平・公正に許可する。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・空き施設、空き区画が発生した場合の利用者の選定については、仲卸組合と連携しながら公募を行い、複数の希望者があれば抽選によって選定するなど平等・公平・公正を担保する。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○債権管理を徹底し、引き続き滞納ゼロを目指す</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●施設使用の不適切な使用に対する是正指導の強化等により、市場内スペースの有効活用が図られているか</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○不法占有の防止</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・市場施設の不法占有を未然に防ぐため、社員による日常的なラウンドを実施。</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・不適正な使用があれば、関係者への事情聴取等を実施し、是正指導を行う。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・物理的な手法による適正使用を図る。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・悪質な不法占有者に対する法的措置を講じる。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・セリ場での販売行為や買出人用駐車場での荷物の保管、荷捌きについて、卸会社及び仲卸組合と協働して是正指導を行う。</w:t>
            </w:r>
          </w:p>
        </w:tc>
      </w:tr>
    </w:tbl>
    <w:p w:rsidR="00176EBC" w:rsidRPr="00AF2F20" w:rsidRDefault="00176EBC">
      <w:pPr>
        <w:rPr>
          <w:rFonts w:asciiTheme="majorEastAsia" w:eastAsiaTheme="majorEastAsia" w:hAnsiTheme="majorEastAsia"/>
        </w:rPr>
      </w:pPr>
    </w:p>
    <w:tbl>
      <w:tblPr>
        <w:tblStyle w:val="a3"/>
        <w:tblW w:w="0" w:type="auto"/>
        <w:tblLook w:val="04A0" w:firstRow="1" w:lastRow="0" w:firstColumn="1" w:lastColumn="0" w:noHBand="0" w:noVBand="1"/>
      </w:tblPr>
      <w:tblGrid>
        <w:gridCol w:w="675"/>
        <w:gridCol w:w="2127"/>
        <w:gridCol w:w="3543"/>
        <w:gridCol w:w="16227"/>
      </w:tblGrid>
      <w:tr w:rsidR="00C330D9" w:rsidRPr="00AF2F20" w:rsidTr="00C330D9">
        <w:trPr>
          <w:trHeight w:val="609"/>
        </w:trPr>
        <w:tc>
          <w:tcPr>
            <w:tcW w:w="2802" w:type="dxa"/>
            <w:gridSpan w:val="2"/>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評価項目</w:t>
            </w:r>
          </w:p>
        </w:tc>
        <w:tc>
          <w:tcPr>
            <w:tcW w:w="3543"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AF2F20" w:rsidRPr="00AF2F20" w:rsidTr="00C330D9">
        <w:tc>
          <w:tcPr>
            <w:tcW w:w="675" w:type="dxa"/>
            <w:vMerge w:val="restart"/>
            <w:shd w:val="clear" w:color="auto" w:fill="D9D9D9" w:themeFill="background1" w:themeFillShade="D9"/>
            <w:textDirection w:val="tbRlV"/>
            <w:vAlign w:val="center"/>
          </w:tcPr>
          <w:p w:rsidR="00AF2F20" w:rsidRPr="00AF2F20" w:rsidRDefault="00AF2F20" w:rsidP="00AF2F20">
            <w:pPr>
              <w:ind w:left="113" w:right="113"/>
              <w:jc w:val="center"/>
              <w:rPr>
                <w:rFonts w:asciiTheme="majorEastAsia" w:eastAsiaTheme="majorEastAsia" w:hAnsiTheme="majorEastAsia"/>
              </w:rPr>
            </w:pPr>
            <w:r w:rsidRPr="00AF2F20">
              <w:rPr>
                <w:rFonts w:asciiTheme="majorEastAsia" w:eastAsiaTheme="majorEastAsia" w:hAnsiTheme="majorEastAsia" w:hint="eastAsia"/>
                <w:b/>
              </w:rPr>
              <w:t>Ⅰ提案の履行状況に関する項目②</w:t>
            </w:r>
          </w:p>
        </w:tc>
        <w:tc>
          <w:tcPr>
            <w:tcW w:w="2127" w:type="dxa"/>
            <w:vMerge w:val="restart"/>
            <w:vAlign w:val="center"/>
          </w:tcPr>
          <w:p w:rsidR="00AF2F20" w:rsidRPr="00AF2F20" w:rsidRDefault="00AF2F20" w:rsidP="002B1651">
            <w:pPr>
              <w:rPr>
                <w:rFonts w:asciiTheme="majorEastAsia" w:eastAsiaTheme="majorEastAsia" w:hAnsiTheme="majorEastAsia"/>
              </w:rPr>
            </w:pPr>
            <w:r w:rsidRPr="00AF2F20">
              <w:rPr>
                <w:rFonts w:asciiTheme="majorEastAsia" w:eastAsiaTheme="majorEastAsia" w:hAnsiTheme="majorEastAsia" w:hint="eastAsia"/>
              </w:rPr>
              <w:t>(3)利用者の増加を図るための具体的手法</w:t>
            </w:r>
          </w:p>
        </w:tc>
        <w:tc>
          <w:tcPr>
            <w:tcW w:w="3543"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●施設の稼働率を向上し、空き施設の解消を図るための工夫が行われているか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 xml:space="preserve">【仲卸売場稼働率】　</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H29目標：91.5%</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H28実績：91.9％</w:t>
            </w:r>
          </w:p>
        </w:tc>
        <w:tc>
          <w:tcPr>
            <w:tcW w:w="16227"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○施設の特性に応じた関係先に対する効果的な入居の誘致活動を実施</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＜仲卸業者、関連事業者、事務所＞</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・空き店舗の状況及び入居者の募集について、ホームページにリアルタイムにアップ</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・比較的商いの多い入居者に対し、空き店舗・事務所を複数利用するよう働きかけ</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・共用部分を不法占拠する業者に対する是正指導と併せた空き店舗・事務所の利用誘導</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＜駐車場＞</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・道路等に無許可で駐車している者に対し、有料駐車場を利用するよう指導を徹底</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＜管理棟＞</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・医療系事業者等の誘致</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・市場関連業者等に対する営業活動</w:t>
            </w:r>
          </w:p>
        </w:tc>
      </w:tr>
      <w:tr w:rsidR="00AF2F20" w:rsidRPr="00AF2F20" w:rsidTr="00C330D9">
        <w:tc>
          <w:tcPr>
            <w:tcW w:w="675" w:type="dxa"/>
            <w:vMerge/>
            <w:shd w:val="clear" w:color="auto" w:fill="D9D9D9" w:themeFill="background1" w:themeFillShade="D9"/>
          </w:tcPr>
          <w:p w:rsidR="00AF2F20" w:rsidRPr="00AF2F20" w:rsidRDefault="00AF2F20">
            <w:pPr>
              <w:rPr>
                <w:rFonts w:asciiTheme="majorEastAsia" w:eastAsiaTheme="majorEastAsia" w:hAnsiTheme="majorEastAsia"/>
              </w:rPr>
            </w:pPr>
          </w:p>
        </w:tc>
        <w:tc>
          <w:tcPr>
            <w:tcW w:w="2127" w:type="dxa"/>
            <w:vMerge/>
          </w:tcPr>
          <w:p w:rsidR="00AF2F20" w:rsidRPr="00AF2F20" w:rsidRDefault="00AF2F20">
            <w:pPr>
              <w:rPr>
                <w:rFonts w:asciiTheme="majorEastAsia" w:eastAsiaTheme="majorEastAsia" w:hAnsiTheme="majorEastAsia"/>
              </w:rPr>
            </w:pPr>
          </w:p>
        </w:tc>
        <w:tc>
          <w:tcPr>
            <w:tcW w:w="3543"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●府市場の果たしている役割が府民に理解されるよう市場のPRを実施しているか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【市場見学者数】</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小学校</w:t>
            </w:r>
            <w:r w:rsidR="00FA4119">
              <w:rPr>
                <w:rFonts w:asciiTheme="majorEastAsia" w:eastAsiaTheme="majorEastAsia" w:hAnsiTheme="majorEastAsia" w:hint="eastAsia"/>
              </w:rPr>
              <w:t>社会</w:t>
            </w:r>
            <w:r w:rsidRPr="00AF2F20">
              <w:rPr>
                <w:rFonts w:asciiTheme="majorEastAsia" w:eastAsiaTheme="majorEastAsia" w:hAnsiTheme="majorEastAsia" w:hint="eastAsia"/>
              </w:rPr>
              <w:t>見学者</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 xml:space="preserve">H29目標：2,700人　 </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H28実績：2,788人</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一般見学者</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 xml:space="preserve">H29目標：300人  </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H28実績：262人</w:t>
            </w:r>
          </w:p>
        </w:tc>
        <w:tc>
          <w:tcPr>
            <w:tcW w:w="16227"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○市場見学会の充実</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・引き続き近隣市の小学校の社会見学の受入れを積極的に行うとともに、一般見学者の受入れについてもホームページにより呼びかけを行い、拡大増加に努める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・外国語パンフレットを活用し、外国人の見学者も拡大を図る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・シルバー人材センターの人材を活用するなど、団体見学の受け入れ態勢を充実する</w:t>
            </w:r>
          </w:p>
          <w:p w:rsidR="00AF2F20" w:rsidRPr="00AF2F20" w:rsidRDefault="00AF2F20" w:rsidP="00C330D9">
            <w:pPr>
              <w:rPr>
                <w:rFonts w:asciiTheme="majorEastAsia" w:eastAsiaTheme="majorEastAsia" w:hAnsiTheme="majorEastAsia"/>
              </w:rPr>
            </w:pP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○広報活動の強化</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・業界紙、府・近隣市の広報媒体、民間コミュニティ誌、ケーブルテレビ、民放・ラジオ等のメディアを活用</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・事業提携大学との連携強化による情報発信強化</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・公共施設や駅などへのパンフレットの配備要請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・SNSを活用した若年同へのPR実施を検討</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・市場パンフレットの充実（適宜改訂によるタイムリーな情報提供）</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・小学生向け・一般向けの市場広報DVDの活用</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・ホームページの充実（市場日報等の統計情報、各種イベント情報のリアルタイム提供）</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・管理等１階展示ロビーのリニューアル</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・「せりちゃん」を活用した市場PR（イベントへの参加、ノベルティの作成・配布）</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・市場開放デーの充実</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・（一社）茨木市観光協会と協働で「お買物デー」「仕入れ体験デー」の開催を検討</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・食育発信事業の推進</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・事業提携大学との連携事業の推進</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・外部活量を導入したネット販売の拡大支援</w:t>
            </w:r>
          </w:p>
        </w:tc>
      </w:tr>
      <w:tr w:rsidR="00AF2F20" w:rsidRPr="00AF2F20" w:rsidTr="00C330D9">
        <w:tc>
          <w:tcPr>
            <w:tcW w:w="675" w:type="dxa"/>
            <w:vMerge/>
            <w:shd w:val="clear" w:color="auto" w:fill="D9D9D9" w:themeFill="background1" w:themeFillShade="D9"/>
          </w:tcPr>
          <w:p w:rsidR="00AF2F20" w:rsidRPr="00AF2F20" w:rsidRDefault="00AF2F20">
            <w:pPr>
              <w:rPr>
                <w:rFonts w:asciiTheme="majorEastAsia" w:eastAsiaTheme="majorEastAsia" w:hAnsiTheme="majorEastAsia"/>
              </w:rPr>
            </w:pPr>
          </w:p>
        </w:tc>
        <w:tc>
          <w:tcPr>
            <w:tcW w:w="2127" w:type="dxa"/>
            <w:vMerge w:val="restart"/>
            <w:vAlign w:val="center"/>
          </w:tcPr>
          <w:p w:rsidR="00AF2F20" w:rsidRPr="00AF2F20" w:rsidRDefault="00AF2F20" w:rsidP="00AF2F20">
            <w:pPr>
              <w:rPr>
                <w:rFonts w:asciiTheme="majorEastAsia" w:eastAsiaTheme="majorEastAsia" w:hAnsiTheme="majorEastAsia"/>
              </w:rPr>
            </w:pPr>
            <w:r w:rsidRPr="00AF2F20">
              <w:rPr>
                <w:rFonts w:asciiTheme="majorEastAsia" w:eastAsiaTheme="majorEastAsia" w:hAnsiTheme="majorEastAsia" w:hint="eastAsia"/>
              </w:rPr>
              <w:t>(4)サービスの向上を図るための具体的手法</w:t>
            </w:r>
          </w:p>
        </w:tc>
        <w:tc>
          <w:tcPr>
            <w:tcW w:w="3543"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●市場の活性化を図るための取組みが計画に基づき実施されているか</w:t>
            </w:r>
          </w:p>
        </w:tc>
        <w:tc>
          <w:tcPr>
            <w:tcW w:w="16227"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【活性化事業提案額：7,000万円】</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○魅力ある市場づくり　　　①トイレの改修　②禁煙スペースの整備　③不法投棄の防止（ごみ置き場改修、防犯カメラ増設等）</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○川上・川下との連携　　　①量販店・百貨店・ホテル等での販促活動　②産地との連携</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○情報発信機能の強化　　　①市場見学会の充実　②料理教室の充実　③広報活動の強化</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○指定管理者制度の活用　　・入居者募集等の営業活動</w:t>
            </w:r>
          </w:p>
        </w:tc>
      </w:tr>
      <w:tr w:rsidR="00AF2F20" w:rsidRPr="00AF2F20" w:rsidTr="00C330D9">
        <w:tc>
          <w:tcPr>
            <w:tcW w:w="675" w:type="dxa"/>
            <w:vMerge/>
            <w:shd w:val="clear" w:color="auto" w:fill="D9D9D9" w:themeFill="background1" w:themeFillShade="D9"/>
          </w:tcPr>
          <w:p w:rsidR="00AF2F20" w:rsidRPr="00AF2F20" w:rsidRDefault="00AF2F20">
            <w:pPr>
              <w:rPr>
                <w:rFonts w:asciiTheme="majorEastAsia" w:eastAsiaTheme="majorEastAsia" w:hAnsiTheme="majorEastAsia"/>
              </w:rPr>
            </w:pPr>
          </w:p>
        </w:tc>
        <w:tc>
          <w:tcPr>
            <w:tcW w:w="2127" w:type="dxa"/>
            <w:vMerge/>
          </w:tcPr>
          <w:p w:rsidR="00AF2F20" w:rsidRPr="00AF2F20" w:rsidRDefault="00AF2F20">
            <w:pPr>
              <w:rPr>
                <w:rFonts w:asciiTheme="majorEastAsia" w:eastAsiaTheme="majorEastAsia" w:hAnsiTheme="majorEastAsia"/>
              </w:rPr>
            </w:pPr>
          </w:p>
        </w:tc>
        <w:tc>
          <w:tcPr>
            <w:tcW w:w="3543"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●市場設備のコールドチェーン化を推進する取組をしているか</w:t>
            </w:r>
          </w:p>
        </w:tc>
        <w:tc>
          <w:tcPr>
            <w:tcW w:w="16227"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・場内業者が冷蔵庫等の低温保管設備を設置できるよう開設者の依頼に基づき電気容量を増加させるための低圧幹線改修工事を計画的に実施</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・大屋根の延長や売場全域を低温管理できるシステムについて、開設者や市場内業者と協議、検討を進める</w:t>
            </w:r>
          </w:p>
        </w:tc>
      </w:tr>
    </w:tbl>
    <w:p w:rsidR="00AF2F20" w:rsidRDefault="00AF2F20">
      <w:pPr>
        <w:rPr>
          <w:rFonts w:asciiTheme="majorEastAsia" w:eastAsiaTheme="majorEastAsia" w:hAnsiTheme="majorEastAsia"/>
        </w:rPr>
      </w:pPr>
    </w:p>
    <w:p w:rsidR="00AF2F20" w:rsidRDefault="00AF2F20">
      <w:pPr>
        <w:widowControl/>
        <w:jc w:val="left"/>
        <w:rPr>
          <w:rFonts w:asciiTheme="majorEastAsia" w:eastAsiaTheme="majorEastAsia" w:hAnsiTheme="majorEastAsia"/>
        </w:rPr>
      </w:pPr>
      <w:r>
        <w:rPr>
          <w:rFonts w:asciiTheme="majorEastAsia" w:eastAsiaTheme="majorEastAsia" w:hAnsiTheme="majorEastAsia"/>
        </w:rPr>
        <w:br w:type="page"/>
      </w:r>
    </w:p>
    <w:tbl>
      <w:tblPr>
        <w:tblStyle w:val="a3"/>
        <w:tblW w:w="0" w:type="auto"/>
        <w:tblLook w:val="04A0" w:firstRow="1" w:lastRow="0" w:firstColumn="1" w:lastColumn="0" w:noHBand="0" w:noVBand="1"/>
      </w:tblPr>
      <w:tblGrid>
        <w:gridCol w:w="675"/>
        <w:gridCol w:w="2127"/>
        <w:gridCol w:w="3543"/>
        <w:gridCol w:w="16227"/>
      </w:tblGrid>
      <w:tr w:rsidR="00C330D9" w:rsidRPr="00AF2F20" w:rsidTr="00C330D9">
        <w:trPr>
          <w:trHeight w:val="609"/>
        </w:trPr>
        <w:tc>
          <w:tcPr>
            <w:tcW w:w="2802" w:type="dxa"/>
            <w:gridSpan w:val="2"/>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評価項目</w:t>
            </w:r>
          </w:p>
        </w:tc>
        <w:tc>
          <w:tcPr>
            <w:tcW w:w="3543"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7046C7" w:rsidTr="00C330D9">
        <w:trPr>
          <w:trHeight w:val="3055"/>
        </w:trPr>
        <w:tc>
          <w:tcPr>
            <w:tcW w:w="675" w:type="dxa"/>
            <w:vMerge w:val="restart"/>
            <w:shd w:val="clear" w:color="auto" w:fill="D9D9D9" w:themeFill="background1" w:themeFillShade="D9"/>
            <w:textDirection w:val="tbRlV"/>
            <w:vAlign w:val="center"/>
          </w:tcPr>
          <w:p w:rsidR="007046C7" w:rsidRDefault="007046C7" w:rsidP="007046C7">
            <w:pPr>
              <w:ind w:left="113" w:right="113"/>
              <w:jc w:val="center"/>
              <w:rPr>
                <w:rFonts w:asciiTheme="majorEastAsia" w:eastAsiaTheme="majorEastAsia" w:hAnsiTheme="majorEastAsia"/>
              </w:rPr>
            </w:pPr>
            <w:r w:rsidRPr="00AF2F20">
              <w:rPr>
                <w:rFonts w:asciiTheme="majorEastAsia" w:eastAsiaTheme="majorEastAsia" w:hAnsiTheme="majorEastAsia" w:hint="eastAsia"/>
                <w:b/>
              </w:rPr>
              <w:t>Ⅰ提案の履行状況に関する項目</w:t>
            </w:r>
            <w:r>
              <w:rPr>
                <w:rFonts w:asciiTheme="majorEastAsia" w:eastAsiaTheme="majorEastAsia" w:hAnsiTheme="majorEastAsia" w:hint="eastAsia"/>
                <w:b/>
              </w:rPr>
              <w:t>③</w:t>
            </w:r>
          </w:p>
        </w:tc>
        <w:tc>
          <w:tcPr>
            <w:tcW w:w="2127" w:type="dxa"/>
            <w:vMerge w:val="restart"/>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(5)施設の維持管理の内容、適格性及び実現の程度</w:t>
            </w:r>
          </w:p>
        </w:tc>
        <w:tc>
          <w:tcPr>
            <w:tcW w:w="3543" w:type="dxa"/>
            <w:vAlign w:val="center"/>
          </w:tcPr>
          <w:p w:rsidR="007046C7" w:rsidRP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●点検・補修が適格かつ迅速に行われているか</w:t>
            </w:r>
          </w:p>
        </w:tc>
        <w:tc>
          <w:tcPr>
            <w:tcW w:w="16227" w:type="dxa"/>
            <w:vMerge w:val="restart"/>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【修繕費提案額：6,000万円】</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開場38年が経過し、施設設備の老朽化が顕著であることから、施設設備の事故・故障による市場機能の停滞を未然に防止するために、エレベーターや消防施設等の法定点検を行うとともに、主要設備について年間計画を定め、計画的な保守点検を実施し、不具合が確認されればその都度修理を行う。</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○修繕事業</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工事費用が概ね100万円以下の比較的小規模の緊急修繕が発生した場合は、直ちに現場に急行し、社員自らが補修・修繕業務を行うとともに、専門的な機材・技術が必要な場合は専門業者に修繕の手配を行うなど、スピード感を持って迅速的確に対応</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・電気・水道・ガス灯のライフライン供給施設や、冷蔵庫関連設備の保管点検と緊急修繕工事を最優先事項として業務を実施し、万全を期す</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・場内業者や市場ユーザー等の現場のニーズを把握し、事故を未然に防止するために必要な修繕を実施</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○改修事業</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・工事費用が概ね100万円を超えるものの、市場関係者のニーズや緊急性を要する改修工事について、開設者との役割分担を適切に行いながら実施</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・故障で長年停止している管理棟エレベーターについて、平成30年度までに修理を完成</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○開設者依頼事業</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・工事費用が概ね1,000万円を超える大規模施設・設備の改修事業のうち、民間事業者が施工する方が事業費、工期等において一層の効果・効率性が期待できる事業について、開設者と協議のうえ実施</w:t>
            </w:r>
          </w:p>
        </w:tc>
      </w:tr>
      <w:tr w:rsidR="007046C7" w:rsidTr="00C330D9">
        <w:trPr>
          <w:trHeight w:val="3055"/>
        </w:trPr>
        <w:tc>
          <w:tcPr>
            <w:tcW w:w="675" w:type="dxa"/>
            <w:vMerge/>
            <w:shd w:val="clear" w:color="auto" w:fill="D9D9D9" w:themeFill="background1" w:themeFillShade="D9"/>
          </w:tcPr>
          <w:p w:rsidR="007046C7" w:rsidRDefault="007046C7">
            <w:pPr>
              <w:rPr>
                <w:rFonts w:asciiTheme="majorEastAsia" w:eastAsiaTheme="majorEastAsia" w:hAnsiTheme="majorEastAsia"/>
              </w:rPr>
            </w:pPr>
          </w:p>
        </w:tc>
        <w:tc>
          <w:tcPr>
            <w:tcW w:w="2127" w:type="dxa"/>
            <w:vMerge/>
          </w:tcPr>
          <w:p w:rsidR="007046C7" w:rsidRDefault="007046C7">
            <w:pPr>
              <w:rPr>
                <w:rFonts w:asciiTheme="majorEastAsia" w:eastAsiaTheme="majorEastAsia" w:hAnsiTheme="majorEastAsia"/>
              </w:rPr>
            </w:pP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●施設の維持管理のための改修工事を積極的に実施できているか</w:t>
            </w:r>
          </w:p>
        </w:tc>
        <w:tc>
          <w:tcPr>
            <w:tcW w:w="16227" w:type="dxa"/>
            <w:vMerge/>
            <w:vAlign w:val="center"/>
          </w:tcPr>
          <w:p w:rsidR="007046C7" w:rsidRDefault="007046C7" w:rsidP="00C330D9">
            <w:pPr>
              <w:rPr>
                <w:rFonts w:asciiTheme="majorEastAsia" w:eastAsiaTheme="majorEastAsia" w:hAnsiTheme="majorEastAsia"/>
              </w:rPr>
            </w:pPr>
          </w:p>
        </w:tc>
      </w:tr>
      <w:tr w:rsidR="007046C7" w:rsidTr="00C330D9">
        <w:tc>
          <w:tcPr>
            <w:tcW w:w="675" w:type="dxa"/>
            <w:vMerge/>
            <w:shd w:val="clear" w:color="auto" w:fill="D9D9D9" w:themeFill="background1" w:themeFillShade="D9"/>
          </w:tcPr>
          <w:p w:rsidR="007046C7" w:rsidRDefault="007046C7">
            <w:pPr>
              <w:rPr>
                <w:rFonts w:asciiTheme="majorEastAsia" w:eastAsiaTheme="majorEastAsia" w:hAnsiTheme="majorEastAsia"/>
              </w:rPr>
            </w:pPr>
          </w:p>
        </w:tc>
        <w:tc>
          <w:tcPr>
            <w:tcW w:w="2127" w:type="dxa"/>
            <w:vMerge w:val="restart"/>
            <w:vAlign w:val="center"/>
          </w:tcPr>
          <w:p w:rsidR="007046C7" w:rsidRDefault="007046C7" w:rsidP="007046C7">
            <w:pPr>
              <w:jc w:val="center"/>
              <w:rPr>
                <w:rFonts w:asciiTheme="majorEastAsia" w:eastAsiaTheme="majorEastAsia" w:hAnsiTheme="majorEastAsia"/>
              </w:rPr>
            </w:pPr>
            <w:r w:rsidRPr="007046C7">
              <w:rPr>
                <w:rFonts w:asciiTheme="majorEastAsia" w:eastAsiaTheme="majorEastAsia" w:hAnsiTheme="majorEastAsia" w:hint="eastAsia"/>
              </w:rPr>
              <w:t>(6)府施策との整合</w:t>
            </w: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●府・公共事業協力等</w:t>
            </w:r>
          </w:p>
        </w:tc>
        <w:tc>
          <w:tcPr>
            <w:tcW w:w="16227" w:type="dxa"/>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○施設改修事業への協力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・指定管理者が実施する方が一層の効果・効率性が期待できる事業の施行</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○排ガス規制非適合車流入調査への協力</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○大阪府主催イベントへの協力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・府主催の各行政分野における啓発イベント等の趣旨を広く府民に周知</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・イベント参加促進のため、市場ならではの生鮮食料品を副賞として提供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・「もずやん」知名度向上を図るため、各種イベントへ「せりちゃん」の動員も含め積極的に参加・協力</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○府政学習会</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・生鮮食料品の流通過程において市場が果たす役割や食の安全安心への取組みを府民に理解してもらうため、府政学習会の場を提供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・参加者へ旬の果物をプレゼントし、市場をより身近なものと理解してもらう</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○大阪中学生サマー・セミナー</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・大学連携事業先である追手門学院大学と連携し、大阪府内の中学生の将来の夢と希望を実現するための講座への支援</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○あいりん地区日雇い労働者の清掃事業の受入れ</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・商工労働部が実施する就労自立支援事業に係る日雇い労働者の清掃事業が円滑に実施できるよう清掃の場の提供などを場内業者等と調整</w:t>
            </w:r>
          </w:p>
        </w:tc>
      </w:tr>
      <w:tr w:rsidR="007046C7" w:rsidTr="00C330D9">
        <w:tc>
          <w:tcPr>
            <w:tcW w:w="675" w:type="dxa"/>
            <w:vMerge/>
            <w:shd w:val="clear" w:color="auto" w:fill="D9D9D9" w:themeFill="background1" w:themeFillShade="D9"/>
          </w:tcPr>
          <w:p w:rsidR="007046C7" w:rsidRDefault="007046C7">
            <w:pPr>
              <w:rPr>
                <w:rFonts w:asciiTheme="majorEastAsia" w:eastAsiaTheme="majorEastAsia" w:hAnsiTheme="majorEastAsia"/>
              </w:rPr>
            </w:pPr>
          </w:p>
        </w:tc>
        <w:tc>
          <w:tcPr>
            <w:tcW w:w="2127" w:type="dxa"/>
            <w:vMerge/>
            <w:vAlign w:val="center"/>
          </w:tcPr>
          <w:p w:rsidR="007046C7" w:rsidRDefault="007046C7" w:rsidP="007046C7">
            <w:pPr>
              <w:jc w:val="center"/>
              <w:rPr>
                <w:rFonts w:asciiTheme="majorEastAsia" w:eastAsiaTheme="majorEastAsia" w:hAnsiTheme="majorEastAsia"/>
              </w:rPr>
            </w:pP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●行政の福祉化</w:t>
            </w:r>
          </w:p>
        </w:tc>
        <w:tc>
          <w:tcPr>
            <w:tcW w:w="16227" w:type="dxa"/>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○(一社）おおさか人材雇用開発人権センター(C-STEP)加入済</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○知的障がい者の清掃業務従事への取組み</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・委託先での既雇用者2名の継続雇用を支援</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・管理棟における知的障がい者の就労支援としての清掃訓練の支援、継続実施</w:t>
            </w:r>
          </w:p>
        </w:tc>
      </w:tr>
    </w:tbl>
    <w:p w:rsidR="002B1651" w:rsidRDefault="002B1651">
      <w:pPr>
        <w:rPr>
          <w:rFonts w:asciiTheme="majorEastAsia" w:eastAsiaTheme="majorEastAsia" w:hAnsiTheme="majorEastAsia"/>
        </w:rPr>
      </w:pPr>
    </w:p>
    <w:tbl>
      <w:tblPr>
        <w:tblStyle w:val="a3"/>
        <w:tblW w:w="0" w:type="auto"/>
        <w:tblLook w:val="04A0" w:firstRow="1" w:lastRow="0" w:firstColumn="1" w:lastColumn="0" w:noHBand="0" w:noVBand="1"/>
      </w:tblPr>
      <w:tblGrid>
        <w:gridCol w:w="675"/>
        <w:gridCol w:w="2127"/>
        <w:gridCol w:w="3543"/>
        <w:gridCol w:w="16227"/>
      </w:tblGrid>
      <w:tr w:rsidR="00C330D9" w:rsidRPr="00AF2F20" w:rsidTr="00C330D9">
        <w:trPr>
          <w:trHeight w:val="609"/>
        </w:trPr>
        <w:tc>
          <w:tcPr>
            <w:tcW w:w="2802" w:type="dxa"/>
            <w:gridSpan w:val="2"/>
            <w:shd w:val="clear" w:color="auto" w:fill="DBE5F1" w:themeFill="accent1" w:themeFillTint="33"/>
            <w:vAlign w:val="center"/>
          </w:tcPr>
          <w:p w:rsidR="007046C7" w:rsidRPr="00AF2F20" w:rsidRDefault="007046C7" w:rsidP="00691EB8">
            <w:pPr>
              <w:jc w:val="center"/>
              <w:rPr>
                <w:rFonts w:asciiTheme="majorEastAsia" w:eastAsiaTheme="majorEastAsia" w:hAnsiTheme="majorEastAsia"/>
              </w:rPr>
            </w:pPr>
            <w:r w:rsidRPr="00AF2F20">
              <w:rPr>
                <w:rFonts w:asciiTheme="majorEastAsia" w:eastAsiaTheme="majorEastAsia" w:hAnsiTheme="majorEastAsia" w:hint="eastAsia"/>
              </w:rPr>
              <w:t>評価項目</w:t>
            </w:r>
          </w:p>
        </w:tc>
        <w:tc>
          <w:tcPr>
            <w:tcW w:w="3543" w:type="dxa"/>
            <w:shd w:val="clear" w:color="auto" w:fill="DBE5F1" w:themeFill="accent1" w:themeFillTint="33"/>
            <w:vAlign w:val="center"/>
          </w:tcPr>
          <w:p w:rsidR="007046C7" w:rsidRPr="00AF2F20" w:rsidRDefault="007046C7" w:rsidP="00691EB8">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7046C7" w:rsidRPr="00AF2F20" w:rsidRDefault="007046C7" w:rsidP="00691EB8">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7046C7" w:rsidTr="00C330D9">
        <w:tc>
          <w:tcPr>
            <w:tcW w:w="675" w:type="dxa"/>
            <w:vMerge w:val="restart"/>
            <w:shd w:val="clear" w:color="auto" w:fill="D9D9D9" w:themeFill="background1" w:themeFillShade="D9"/>
            <w:textDirection w:val="tbRlV"/>
            <w:vAlign w:val="center"/>
          </w:tcPr>
          <w:p w:rsidR="007046C7" w:rsidRDefault="007046C7" w:rsidP="007046C7">
            <w:pPr>
              <w:ind w:left="113" w:right="113"/>
              <w:jc w:val="center"/>
              <w:rPr>
                <w:rFonts w:asciiTheme="majorEastAsia" w:eastAsiaTheme="majorEastAsia" w:hAnsiTheme="majorEastAsia"/>
              </w:rPr>
            </w:pPr>
            <w:r w:rsidRPr="00AF2F20">
              <w:rPr>
                <w:rFonts w:asciiTheme="majorEastAsia" w:eastAsiaTheme="majorEastAsia" w:hAnsiTheme="majorEastAsia" w:hint="eastAsia"/>
                <w:b/>
              </w:rPr>
              <w:t>Ⅰ提案の履行状況に関する項目</w:t>
            </w:r>
            <w:r>
              <w:rPr>
                <w:rFonts w:asciiTheme="majorEastAsia" w:eastAsiaTheme="majorEastAsia" w:hAnsiTheme="majorEastAsia" w:hint="eastAsia"/>
                <w:b/>
              </w:rPr>
              <w:t>④</w:t>
            </w:r>
          </w:p>
        </w:tc>
        <w:tc>
          <w:tcPr>
            <w:tcW w:w="2127" w:type="dxa"/>
            <w:vMerge w:val="restart"/>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(6)府施策との整合</w:t>
            </w: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●府民、ＮＰＯとの共同</w:t>
            </w:r>
          </w:p>
        </w:tc>
        <w:tc>
          <w:tcPr>
            <w:tcW w:w="16227" w:type="dxa"/>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①ボランティア、NPO等との協働事業の実施</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○事業連携大学、量販店との協働による新商品、レシピ開発、食育の推進</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・事業連携している4大学や量販店・百貨店とのコラボにより、学生が考案した旬の食材を使ったメニュー、レシピの提供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・学生の店頭販売支援による生鮮食品の消費拡大</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・認定食育アドバイザー及びトータルフードコーディネーターの資格を有する社員が中心となり、事業提携大学と連携した食育活動の推進</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②施設運営やサービスの向上、事業の企画などに府民・NPO等が参加・参加できる機会を確保する取組み</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○（一社）茨木市観光協会との協働による市場見学会の実施</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・地元茨木市民への市場PR及び観光振興、まちづくりへの寄与</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○市場開放デーの充実</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・参加者からのアンケート調査を次期開催の充実に反映する。</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・H30年度の市場開設40周年市場開放デーでの、市場ならではの特色あるイベントの開催</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○場内での料理教室の充実</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・場内の空き施設を活用し調理室を整備し、場内でのお魚料理教室の開催を検討</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・事業の企画実施にあたって、市民団体や市民の生の声を聞いて内容を充実させる</w:t>
            </w:r>
          </w:p>
        </w:tc>
      </w:tr>
      <w:tr w:rsidR="007046C7" w:rsidTr="00C330D9">
        <w:tc>
          <w:tcPr>
            <w:tcW w:w="675" w:type="dxa"/>
            <w:vMerge/>
            <w:shd w:val="clear" w:color="auto" w:fill="D9D9D9" w:themeFill="background1" w:themeFillShade="D9"/>
          </w:tcPr>
          <w:p w:rsidR="007046C7" w:rsidRDefault="007046C7">
            <w:pPr>
              <w:rPr>
                <w:rFonts w:asciiTheme="majorEastAsia" w:eastAsiaTheme="majorEastAsia" w:hAnsiTheme="majorEastAsia"/>
              </w:rPr>
            </w:pPr>
          </w:p>
        </w:tc>
        <w:tc>
          <w:tcPr>
            <w:tcW w:w="2127" w:type="dxa"/>
            <w:vMerge/>
          </w:tcPr>
          <w:p w:rsidR="007046C7" w:rsidRDefault="007046C7" w:rsidP="007046C7">
            <w:pPr>
              <w:jc w:val="center"/>
              <w:rPr>
                <w:rFonts w:asciiTheme="majorEastAsia" w:eastAsiaTheme="majorEastAsia" w:hAnsiTheme="majorEastAsia"/>
              </w:rPr>
            </w:pP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●環境問題への取組み</w:t>
            </w:r>
          </w:p>
        </w:tc>
        <w:tc>
          <w:tcPr>
            <w:tcW w:w="16227" w:type="dxa"/>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○燃料電池への協力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・燃料電池が円滑に運転電力されるよう、需給契約の更改や保守点検業務に万全を期す</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○節エネルギー対策</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・電気・ガスエネルギーの使用抑制ポスターを作成するなど、場内業者に積極的に啓発活動を行う</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・節電対策として、市場内の証明設備のLED転換を行う</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○事業系ごみの減量化と再資源化</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・ごみの減量、一般廃棄物と産業廃棄物や再資源化のための分別について、場内業者への積極的な啓発を行う</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・場外からの不法投棄防止のため、防犯カメラの増設等による監視・指導を強化し、不法投棄が判明した場合は警察への通報を行うとともに、業務規程に基づき入場禁止措置の適用を検討</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・魚あらと青果くずの再生利用</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・プラ製廃パレットに加え、段ボール、新聞、雑誌等の再資源化を推進</w:t>
            </w:r>
          </w:p>
        </w:tc>
      </w:tr>
      <w:tr w:rsidR="00C330D9" w:rsidTr="00C330D9">
        <w:tc>
          <w:tcPr>
            <w:tcW w:w="675" w:type="dxa"/>
            <w:vMerge w:val="restart"/>
            <w:shd w:val="clear" w:color="auto" w:fill="D9D9D9" w:themeFill="background1" w:themeFillShade="D9"/>
            <w:textDirection w:val="tbRlV"/>
            <w:vAlign w:val="center"/>
          </w:tcPr>
          <w:p w:rsidR="00C330D9" w:rsidRPr="00C330D9" w:rsidRDefault="00C330D9" w:rsidP="00C330D9">
            <w:pPr>
              <w:spacing w:line="240" w:lineRule="exact"/>
              <w:ind w:left="113" w:right="113"/>
              <w:jc w:val="center"/>
              <w:rPr>
                <w:rFonts w:asciiTheme="majorEastAsia" w:eastAsiaTheme="majorEastAsia" w:hAnsiTheme="majorEastAsia"/>
                <w:b/>
              </w:rPr>
            </w:pPr>
            <w:r w:rsidRPr="00C330D9">
              <w:rPr>
                <w:rFonts w:asciiTheme="majorEastAsia" w:eastAsiaTheme="majorEastAsia" w:hAnsiTheme="majorEastAsia" w:hint="eastAsia"/>
                <w:b/>
                <w:sz w:val="20"/>
              </w:rPr>
              <w:t>Ⅱさらなるサービスの向上に関する項目</w:t>
            </w:r>
          </w:p>
        </w:tc>
        <w:tc>
          <w:tcPr>
            <w:tcW w:w="2127" w:type="dxa"/>
            <w:vAlign w:val="center"/>
          </w:tcPr>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(1)利用者満足度調査など</w:t>
            </w:r>
          </w:p>
        </w:tc>
        <w:tc>
          <w:tcPr>
            <w:tcW w:w="3543" w:type="dxa"/>
            <w:vAlign w:val="center"/>
          </w:tcPr>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●利用者調査の実施及び結果のフィードバック</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聞取り調査</w:t>
            </w:r>
          </w:p>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アンケート調査　など</w:t>
            </w:r>
          </w:p>
        </w:tc>
        <w:tc>
          <w:tcPr>
            <w:tcW w:w="16227" w:type="dxa"/>
            <w:vAlign w:val="center"/>
          </w:tcPr>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○顧客満足度の向上</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・多くの顧客の満足度が高まるよう日頃からニーズ把握を行うとともに、常にスピード感をもって迅速に処理にあたるなど、顧客サービスの向上に努める</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・日常的に場内の多くの店舗に出向き、要望やニーズを把握し、市場運営業務に反映させる</w:t>
            </w:r>
          </w:p>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・市場開放デーや市場見学会で一般消費者にアンケート調査を実施し、寄せられた意見・提言を市場運営にフィードバックさせる</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Align w:val="center"/>
          </w:tcPr>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(2)その他創意工夫</w:t>
            </w:r>
          </w:p>
        </w:tc>
        <w:tc>
          <w:tcPr>
            <w:tcW w:w="3543" w:type="dxa"/>
            <w:vAlign w:val="center"/>
          </w:tcPr>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●サービス向上につながる取組み、創意工夫が行われているか</w:t>
            </w:r>
          </w:p>
        </w:tc>
        <w:tc>
          <w:tcPr>
            <w:tcW w:w="16227" w:type="dxa"/>
            <w:vAlign w:val="center"/>
          </w:tcPr>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≪再掲≫○魅力ある市場づくり</w:t>
            </w:r>
            <w:r>
              <w:rPr>
                <w:rFonts w:asciiTheme="majorEastAsia" w:eastAsiaTheme="majorEastAsia" w:hAnsiTheme="majorEastAsia" w:hint="eastAsia"/>
              </w:rPr>
              <w:t xml:space="preserve">　</w:t>
            </w:r>
            <w:r w:rsidRPr="007046C7">
              <w:rPr>
                <w:rFonts w:asciiTheme="majorEastAsia" w:eastAsiaTheme="majorEastAsia" w:hAnsiTheme="majorEastAsia" w:hint="eastAsia"/>
              </w:rPr>
              <w:t xml:space="preserve">　①トイレの改修　②分煙スペースの整備　③不法投棄の防止（ごみ置き場改修、防犯カメラ増設等）</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≪再掲≫○川上・川下との連携</w:t>
            </w:r>
            <w:r>
              <w:rPr>
                <w:rFonts w:asciiTheme="majorEastAsia" w:eastAsiaTheme="majorEastAsia" w:hAnsiTheme="majorEastAsia" w:hint="eastAsia"/>
              </w:rPr>
              <w:t xml:space="preserve">　</w:t>
            </w:r>
            <w:r w:rsidRPr="007046C7">
              <w:rPr>
                <w:rFonts w:asciiTheme="majorEastAsia" w:eastAsiaTheme="majorEastAsia" w:hAnsiTheme="majorEastAsia" w:hint="eastAsia"/>
              </w:rPr>
              <w:t xml:space="preserve">　①量販店・百貨店・ホテル等での販促活動　②産地との連携</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≪再掲≫○情報発信機能の強化</w:t>
            </w:r>
            <w:r>
              <w:rPr>
                <w:rFonts w:asciiTheme="majorEastAsia" w:eastAsiaTheme="majorEastAsia" w:hAnsiTheme="majorEastAsia" w:hint="eastAsia"/>
              </w:rPr>
              <w:t xml:space="preserve">　</w:t>
            </w:r>
            <w:r w:rsidRPr="007046C7">
              <w:rPr>
                <w:rFonts w:asciiTheme="majorEastAsia" w:eastAsiaTheme="majorEastAsia" w:hAnsiTheme="majorEastAsia" w:hint="eastAsia"/>
              </w:rPr>
              <w:t xml:space="preserve">　①市場見学会の充実　②料理教室の充実　③広報活動の強化</w:t>
            </w:r>
          </w:p>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≪再掲≫○指定管理者制度の活用　・入居者募集等の営業活動</w:t>
            </w:r>
          </w:p>
        </w:tc>
      </w:tr>
    </w:tbl>
    <w:p w:rsidR="007046C7" w:rsidRDefault="007046C7">
      <w:pPr>
        <w:rPr>
          <w:rFonts w:asciiTheme="majorEastAsia" w:eastAsiaTheme="majorEastAsia" w:hAnsiTheme="majorEastAsia"/>
        </w:rPr>
      </w:pPr>
    </w:p>
    <w:p w:rsidR="00C330D9" w:rsidRDefault="00C330D9">
      <w:pPr>
        <w:rPr>
          <w:rFonts w:asciiTheme="majorEastAsia" w:eastAsiaTheme="majorEastAsia" w:hAnsiTheme="majorEastAsia"/>
        </w:rPr>
      </w:pPr>
    </w:p>
    <w:p w:rsidR="00C330D9" w:rsidRDefault="00C330D9">
      <w:pPr>
        <w:rPr>
          <w:rFonts w:asciiTheme="majorEastAsia" w:eastAsiaTheme="majorEastAsia" w:hAnsiTheme="majorEastAsia"/>
        </w:rPr>
      </w:pPr>
    </w:p>
    <w:tbl>
      <w:tblPr>
        <w:tblStyle w:val="a3"/>
        <w:tblW w:w="0" w:type="auto"/>
        <w:tblLook w:val="04A0" w:firstRow="1" w:lastRow="0" w:firstColumn="1" w:lastColumn="0" w:noHBand="0" w:noVBand="1"/>
      </w:tblPr>
      <w:tblGrid>
        <w:gridCol w:w="675"/>
        <w:gridCol w:w="2127"/>
        <w:gridCol w:w="3543"/>
        <w:gridCol w:w="16227"/>
      </w:tblGrid>
      <w:tr w:rsidR="00C330D9" w:rsidTr="00C330D9">
        <w:trPr>
          <w:trHeight w:val="607"/>
        </w:trPr>
        <w:tc>
          <w:tcPr>
            <w:tcW w:w="2802" w:type="dxa"/>
            <w:gridSpan w:val="2"/>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評価項目</w:t>
            </w:r>
          </w:p>
        </w:tc>
        <w:tc>
          <w:tcPr>
            <w:tcW w:w="3543"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C330D9" w:rsidTr="00C330D9">
        <w:tc>
          <w:tcPr>
            <w:tcW w:w="675" w:type="dxa"/>
            <w:vMerge w:val="restart"/>
            <w:shd w:val="clear" w:color="auto" w:fill="D9D9D9" w:themeFill="background1" w:themeFillShade="D9"/>
            <w:textDirection w:val="tbRlV"/>
            <w:vAlign w:val="center"/>
          </w:tcPr>
          <w:p w:rsidR="00C330D9" w:rsidRPr="00C330D9" w:rsidRDefault="00C330D9" w:rsidP="00C330D9">
            <w:pPr>
              <w:ind w:left="113" w:right="113"/>
              <w:jc w:val="center"/>
              <w:rPr>
                <w:rFonts w:asciiTheme="majorEastAsia" w:eastAsiaTheme="majorEastAsia" w:hAnsiTheme="majorEastAsia"/>
                <w:b/>
              </w:rPr>
            </w:pPr>
            <w:r w:rsidRPr="00C330D9">
              <w:rPr>
                <w:rFonts w:asciiTheme="majorEastAsia" w:eastAsiaTheme="majorEastAsia" w:hAnsiTheme="majorEastAsia" w:hint="eastAsia"/>
                <w:b/>
              </w:rPr>
              <w:t>Ⅲ適正な管理業務の遂行を図ることができる能力及び財政基盤に関する事項</w:t>
            </w:r>
          </w:p>
        </w:tc>
        <w:tc>
          <w:tcPr>
            <w:tcW w:w="2127" w:type="dxa"/>
          </w:tcPr>
          <w:p w:rsidR="00C330D9" w:rsidRDefault="00C330D9">
            <w:pPr>
              <w:rPr>
                <w:rFonts w:asciiTheme="majorEastAsia" w:eastAsiaTheme="majorEastAsia" w:hAnsiTheme="majorEastAsia"/>
              </w:rPr>
            </w:pPr>
            <w:r w:rsidRPr="00C330D9">
              <w:rPr>
                <w:rFonts w:asciiTheme="majorEastAsia" w:eastAsiaTheme="majorEastAsia" w:hAnsiTheme="majorEastAsia" w:hint="eastAsia"/>
              </w:rPr>
              <w:t>(1)収支計画の内容、適格性及び実現の程度</w:t>
            </w: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●事業収支は計画と比べて妥当か</w:t>
            </w:r>
          </w:p>
        </w:tc>
        <w:tc>
          <w:tcPr>
            <w:tcW w:w="16227"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収支計画書参照</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val="restart"/>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(2)安定的な運営が可能となる人的能力</w:t>
            </w: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●事業実施に必要な人員が確保され、また配置されているか</w:t>
            </w:r>
          </w:p>
        </w:tc>
        <w:tc>
          <w:tcPr>
            <w:tcW w:w="16227"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・常勤7名</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tcPr>
          <w:p w:rsidR="00C330D9" w:rsidRDefault="00C330D9">
            <w:pPr>
              <w:rPr>
                <w:rFonts w:asciiTheme="majorEastAsia" w:eastAsiaTheme="majorEastAsia" w:hAnsiTheme="majorEastAsia"/>
              </w:rPr>
            </w:pP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●職員の指導育成、研修体制は整備されているか</w:t>
            </w:r>
          </w:p>
        </w:tc>
        <w:tc>
          <w:tcPr>
            <w:tcW w:w="16227" w:type="dxa"/>
            <w:vAlign w:val="center"/>
          </w:tcPr>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○指導育成の方針</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・資格取得、外部研修受講の推進（一部、補助あり）</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 xml:space="preserve">　＜研修＞人権啓発、コンプライアンス、労務管理、経理、行政法、市場流通等</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 xml:space="preserve">　＜資格＞防火管理者、フォークリフト、その他施設設備の管理に必要とされる高度専門的な資格</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・公の施設を管理する企業として、正しいコンプライアンスの知識と理解をもって判断し、行動するよう指導する。</w:t>
            </w:r>
          </w:p>
          <w:p w:rsidR="00C330D9" w:rsidRPr="00C330D9" w:rsidRDefault="00C330D9" w:rsidP="00C330D9">
            <w:pPr>
              <w:rPr>
                <w:rFonts w:asciiTheme="majorEastAsia" w:eastAsiaTheme="majorEastAsia" w:hAnsiTheme="majorEastAsia"/>
              </w:rPr>
            </w:pP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○研修体制</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・新人社員に対するOJT研修の重点的な実施</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・中堅社員を各種団体が主催する集団研修に積極的に参加させる。</w:t>
            </w:r>
          </w:p>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・社員が研修に参加しやすくするための職場の組織風土づくり</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tcPr>
          <w:p w:rsidR="00C330D9" w:rsidRDefault="00C330D9">
            <w:pPr>
              <w:rPr>
                <w:rFonts w:asciiTheme="majorEastAsia" w:eastAsiaTheme="majorEastAsia" w:hAnsiTheme="majorEastAsia"/>
              </w:rPr>
            </w:pP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●職員の管理体制が整備され、監督責任が果たされているか</w:t>
            </w:r>
          </w:p>
        </w:tc>
        <w:tc>
          <w:tcPr>
            <w:tcW w:w="16227" w:type="dxa"/>
            <w:vAlign w:val="center"/>
          </w:tcPr>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・卸売会社、青果・水産組合の対等出資により設立された企業（卸売市場の仕組みや日常業務を熟知した市場のプロ集団）による運営</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・取締役は各出資者のトップが就任</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・社員全員がすべての業務をこなせるよう少数精鋭組織での運営</w:t>
            </w:r>
          </w:p>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・市場の活動時間に合わせた勤務時間（午前8時～午後5時）</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val="restart"/>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(3)安定的な運営が可能となる財政的基盤</w:t>
            </w: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●経営規模、事業規模、組織規模等は十分か</w:t>
            </w:r>
          </w:p>
        </w:tc>
        <w:tc>
          <w:tcPr>
            <w:tcW w:w="16227" w:type="dxa"/>
            <w:vMerge w:val="restart"/>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・経営努力によってねん出した利益配分は、内部留保は会社運営に必要な最低限にとどめ、配当も行わず、市場活性化事業等に還元</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vAlign w:val="center"/>
          </w:tcPr>
          <w:p w:rsidR="00C330D9" w:rsidRPr="00C330D9" w:rsidRDefault="00C330D9" w:rsidP="00C330D9">
            <w:pPr>
              <w:rPr>
                <w:rFonts w:asciiTheme="majorEastAsia" w:eastAsiaTheme="majorEastAsia" w:hAnsiTheme="majorEastAsia"/>
              </w:rPr>
            </w:pP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●財務状況は適正か</w:t>
            </w:r>
          </w:p>
        </w:tc>
        <w:tc>
          <w:tcPr>
            <w:tcW w:w="16227" w:type="dxa"/>
            <w:vMerge/>
          </w:tcPr>
          <w:p w:rsidR="00C330D9" w:rsidRDefault="00C330D9">
            <w:pPr>
              <w:rPr>
                <w:rFonts w:asciiTheme="majorEastAsia" w:eastAsiaTheme="majorEastAsia" w:hAnsiTheme="majorEastAsia"/>
              </w:rPr>
            </w:pPr>
          </w:p>
        </w:tc>
      </w:tr>
    </w:tbl>
    <w:p w:rsidR="00C330D9" w:rsidRPr="00AF2F20" w:rsidRDefault="00C330D9">
      <w:pPr>
        <w:rPr>
          <w:rFonts w:asciiTheme="majorEastAsia" w:eastAsiaTheme="majorEastAsia" w:hAnsiTheme="majorEastAsia"/>
        </w:rPr>
      </w:pPr>
    </w:p>
    <w:sectPr w:rsidR="00C330D9" w:rsidRPr="00AF2F20" w:rsidSect="0088714D">
      <w:headerReference w:type="even" r:id="rId6"/>
      <w:headerReference w:type="default" r:id="rId7"/>
      <w:footerReference w:type="even" r:id="rId8"/>
      <w:footerReference w:type="default" r:id="rId9"/>
      <w:headerReference w:type="first" r:id="rId10"/>
      <w:footerReference w:type="first" r:id="rId11"/>
      <w:pgSz w:w="23814" w:h="16839" w:orient="landscape" w:code="8"/>
      <w:pgMar w:top="720" w:right="720" w:bottom="720" w:left="720" w:header="96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0B3" w:rsidRDefault="001240B3" w:rsidP="0088714D">
      <w:r>
        <w:separator/>
      </w:r>
    </w:p>
  </w:endnote>
  <w:endnote w:type="continuationSeparator" w:id="0">
    <w:p w:rsidR="001240B3" w:rsidRDefault="001240B3" w:rsidP="0088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01" w:rsidRDefault="00660D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65303"/>
      <w:docPartObj>
        <w:docPartGallery w:val="Page Numbers (Bottom of Page)"/>
        <w:docPartUnique/>
      </w:docPartObj>
    </w:sdtPr>
    <w:sdtEndPr/>
    <w:sdtContent>
      <w:p w:rsidR="0088714D" w:rsidRDefault="0088714D">
        <w:pPr>
          <w:pStyle w:val="a6"/>
          <w:jc w:val="center"/>
        </w:pPr>
        <w:r>
          <w:fldChar w:fldCharType="begin"/>
        </w:r>
        <w:r>
          <w:instrText>PAGE   \* MERGEFORMAT</w:instrText>
        </w:r>
        <w:r>
          <w:fldChar w:fldCharType="separate"/>
        </w:r>
        <w:r w:rsidR="00660D01" w:rsidRPr="00660D01">
          <w:rPr>
            <w:noProof/>
            <w:lang w:val="ja-JP"/>
          </w:rPr>
          <w:t>1</w:t>
        </w:r>
        <w:r>
          <w:fldChar w:fldCharType="end"/>
        </w:r>
      </w:p>
    </w:sdtContent>
  </w:sdt>
  <w:p w:rsidR="0088714D" w:rsidRDefault="0088714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01" w:rsidRDefault="00660D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0B3" w:rsidRDefault="001240B3" w:rsidP="0088714D">
      <w:r>
        <w:separator/>
      </w:r>
    </w:p>
  </w:footnote>
  <w:footnote w:type="continuationSeparator" w:id="0">
    <w:p w:rsidR="001240B3" w:rsidRDefault="001240B3" w:rsidP="00887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01" w:rsidRDefault="00660D0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01" w:rsidRDefault="00660D0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01" w:rsidRDefault="00660D0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BC"/>
    <w:rsid w:val="00093A03"/>
    <w:rsid w:val="001240B3"/>
    <w:rsid w:val="00176EBC"/>
    <w:rsid w:val="002B1651"/>
    <w:rsid w:val="003E2991"/>
    <w:rsid w:val="004A0C49"/>
    <w:rsid w:val="00660D01"/>
    <w:rsid w:val="007046C7"/>
    <w:rsid w:val="0088714D"/>
    <w:rsid w:val="009D2AC4"/>
    <w:rsid w:val="00AF2F20"/>
    <w:rsid w:val="00BC3D24"/>
    <w:rsid w:val="00C330D9"/>
    <w:rsid w:val="00D50589"/>
    <w:rsid w:val="00DB3B5F"/>
    <w:rsid w:val="00E30037"/>
    <w:rsid w:val="00ED0AC3"/>
    <w:rsid w:val="00FA4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E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714D"/>
    <w:pPr>
      <w:tabs>
        <w:tab w:val="center" w:pos="4252"/>
        <w:tab w:val="right" w:pos="8504"/>
      </w:tabs>
      <w:snapToGrid w:val="0"/>
    </w:pPr>
  </w:style>
  <w:style w:type="character" w:customStyle="1" w:styleId="a5">
    <w:name w:val="ヘッダー (文字)"/>
    <w:basedOn w:val="a0"/>
    <w:link w:val="a4"/>
    <w:uiPriority w:val="99"/>
    <w:rsid w:val="0088714D"/>
  </w:style>
  <w:style w:type="paragraph" w:styleId="a6">
    <w:name w:val="footer"/>
    <w:basedOn w:val="a"/>
    <w:link w:val="a7"/>
    <w:uiPriority w:val="99"/>
    <w:unhideWhenUsed/>
    <w:rsid w:val="0088714D"/>
    <w:pPr>
      <w:tabs>
        <w:tab w:val="center" w:pos="4252"/>
        <w:tab w:val="right" w:pos="8504"/>
      </w:tabs>
      <w:snapToGrid w:val="0"/>
    </w:pPr>
  </w:style>
  <w:style w:type="character" w:customStyle="1" w:styleId="a7">
    <w:name w:val="フッター (文字)"/>
    <w:basedOn w:val="a0"/>
    <w:link w:val="a6"/>
    <w:uiPriority w:val="99"/>
    <w:rsid w:val="00887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3189</Words>
  <Characters>3253</Characters>
  <Application>Microsoft Office Word</Application>
  <DocSecurity>0</DocSecurity>
  <Lines>232</Lines>
  <Paragraphs>230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2020-03-16T06:36:00Z</dcterms:created>
  <dcterms:modified xsi:type="dcterms:W3CDTF">2020-03-16T06:36:00Z</dcterms:modified>
</cp:coreProperties>
</file>