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62" w:rsidRDefault="00081862" w:rsidP="00081862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C2A4C" wp14:editId="143F9A47">
                <wp:simplePos x="0" y="0"/>
                <wp:positionH relativeFrom="column">
                  <wp:posOffset>5260975</wp:posOffset>
                </wp:positionH>
                <wp:positionV relativeFrom="line">
                  <wp:posOffset>-442595</wp:posOffset>
                </wp:positionV>
                <wp:extent cx="866775" cy="438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862" w:rsidRPr="001A6951" w:rsidRDefault="00081862" w:rsidP="00081862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資料８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414.25pt;margin-top:-34.85pt;width:68.25pt;height:3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" fillcolor="white [3212]" strokecolor="black [3213]">
                <v:textbox>
                  <w:txbxContent>
                    <w:p w:rsidR="00081862" w:rsidRPr="001A6951" w:rsidRDefault="00081862" w:rsidP="00081862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資料８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Pr="00ED2361">
        <w:rPr>
          <w:rFonts w:asciiTheme="majorEastAsia" w:eastAsiaTheme="majorEastAsia" w:hAnsiTheme="majorEastAsia" w:hint="eastAsia"/>
          <w:b/>
          <w:sz w:val="32"/>
          <w:szCs w:val="32"/>
        </w:rPr>
        <w:t>教育振興基本計画　後期事業計画策定に向けて</w:t>
      </w:r>
    </w:p>
    <w:p w:rsidR="00081862" w:rsidRPr="00081862" w:rsidRDefault="00081862" w:rsidP="00081862">
      <w:pPr>
        <w:jc w:val="center"/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5D16CE" w:rsidRPr="004141AB" w:rsidRDefault="005D16CE" w:rsidP="00707B93">
      <w:pPr>
        <w:spacing w:before="240"/>
        <w:rPr>
          <w:rFonts w:asciiTheme="majorEastAsia" w:eastAsiaTheme="majorEastAsia" w:hAnsiTheme="majorEastAsia"/>
          <w:b/>
          <w:sz w:val="24"/>
        </w:rPr>
      </w:pPr>
      <w:r w:rsidRPr="004141AB">
        <w:rPr>
          <w:rFonts w:asciiTheme="majorEastAsia" w:eastAsiaTheme="majorEastAsia" w:hAnsiTheme="majorEastAsia" w:hint="eastAsia"/>
          <w:b/>
          <w:sz w:val="28"/>
          <w:szCs w:val="24"/>
        </w:rPr>
        <w:t>◇すべての府民が親学習に参加できる場づくり</w:t>
      </w:r>
    </w:p>
    <w:p w:rsidR="00707B93" w:rsidRDefault="00707B93" w:rsidP="00707B93">
      <w:pPr>
        <w:ind w:leftChars="100" w:left="69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:rsidR="009065B7" w:rsidRPr="00707B93" w:rsidRDefault="00707B93" w:rsidP="00707B93">
      <w:pPr>
        <w:ind w:leftChars="100" w:left="69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○　</w:t>
      </w:r>
      <w:r w:rsidR="004141AB" w:rsidRPr="00707B93">
        <w:rPr>
          <w:rFonts w:asciiTheme="majorEastAsia" w:eastAsiaTheme="majorEastAsia" w:hAnsiTheme="majorEastAsia" w:hint="eastAsia"/>
          <w:sz w:val="24"/>
          <w:szCs w:val="24"/>
        </w:rPr>
        <w:t>前期事業計画の目標は達成しているが、引き続き、より多くの保護者が参加でき、様々な教育課題や家庭の状況に応じた学びができるよう、学習機会の実施促進と内容充実を図りたい。また、それを支える支援人材の育成も必要である。</w:t>
      </w:r>
    </w:p>
    <w:p w:rsidR="004141AB" w:rsidRDefault="004141AB" w:rsidP="004141AB">
      <w:pPr>
        <w:rPr>
          <w:rFonts w:asciiTheme="majorEastAsia" w:eastAsiaTheme="majorEastAsia" w:hAnsiTheme="majorEastAsia"/>
          <w:sz w:val="24"/>
          <w:szCs w:val="24"/>
        </w:rPr>
      </w:pPr>
    </w:p>
    <w:p w:rsidR="004141AB" w:rsidRPr="00707B93" w:rsidRDefault="00707B93" w:rsidP="00707B93">
      <w:pPr>
        <w:ind w:leftChars="100" w:left="690" w:hangingChars="200" w:hanging="480"/>
        <w:rPr>
          <w:rFonts w:asciiTheme="majorEastAsia" w:eastAsiaTheme="majorEastAsia" w:hAnsiTheme="majorEastAsia" w:cs="Times New Roman"/>
          <w:sz w:val="24"/>
          <w:szCs w:val="24"/>
        </w:rPr>
      </w:pPr>
      <w:r w:rsidRPr="00707B93">
        <w:rPr>
          <w:rFonts w:asciiTheme="majorEastAsia" w:eastAsiaTheme="majorEastAsia" w:hAnsiTheme="majorEastAsia" w:hint="eastAsia"/>
          <w:sz w:val="24"/>
          <w:szCs w:val="24"/>
        </w:rPr>
        <w:t>○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141AB" w:rsidRPr="00707B93">
        <w:rPr>
          <w:rFonts w:asciiTheme="majorEastAsia" w:eastAsiaTheme="majorEastAsia" w:hAnsiTheme="majorEastAsia" w:hint="eastAsia"/>
          <w:sz w:val="24"/>
          <w:szCs w:val="24"/>
        </w:rPr>
        <w:t>国においては、第2期教育振興基本計画（Ｈ25年度～Ｈ29年度）において、</w:t>
      </w:r>
      <w:r w:rsidRPr="00707B93">
        <w:rPr>
          <w:rFonts w:asciiTheme="majorEastAsia" w:eastAsiaTheme="majorEastAsia" w:hAnsiTheme="majorEastAsia" w:hint="eastAsia"/>
          <w:sz w:val="24"/>
          <w:szCs w:val="24"/>
        </w:rPr>
        <w:t>全て</w:t>
      </w:r>
      <w:r w:rsidR="004141AB" w:rsidRPr="00707B93">
        <w:rPr>
          <w:rFonts w:asciiTheme="majorEastAsia" w:eastAsiaTheme="majorEastAsia" w:hAnsiTheme="majorEastAsia" w:hint="eastAsia"/>
          <w:sz w:val="24"/>
          <w:szCs w:val="24"/>
        </w:rPr>
        <w:t>の小学校区で家庭教育に関する学習機会の確保や</w:t>
      </w:r>
      <w:r w:rsidRPr="00707B9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4141AB" w:rsidRPr="00707B93">
        <w:rPr>
          <w:rFonts w:asciiTheme="majorEastAsia" w:eastAsiaTheme="majorEastAsia" w:hAnsiTheme="majorEastAsia" w:hint="eastAsia"/>
          <w:sz w:val="24"/>
          <w:szCs w:val="24"/>
        </w:rPr>
        <w:t>家庭教育支援チームによる相談対応などの家庭教育支援を実施することを</w:t>
      </w:r>
      <w:r w:rsidRPr="00707B9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4141AB" w:rsidRPr="00707B93">
        <w:rPr>
          <w:rFonts w:asciiTheme="majorEastAsia" w:eastAsiaTheme="majorEastAsia" w:hAnsiTheme="majorEastAsia" w:hint="eastAsia"/>
          <w:sz w:val="24"/>
          <w:szCs w:val="24"/>
        </w:rPr>
        <w:t>成果指標として設定している。</w:t>
      </w:r>
    </w:p>
    <w:p w:rsidR="004141AB" w:rsidRPr="004141AB" w:rsidRDefault="004141AB" w:rsidP="004141AB">
      <w:pPr>
        <w:pStyle w:val="aa"/>
        <w:rPr>
          <w:rFonts w:asciiTheme="majorEastAsia" w:eastAsiaTheme="majorEastAsia" w:hAnsiTheme="majorEastAsia"/>
          <w:sz w:val="24"/>
          <w:szCs w:val="24"/>
        </w:rPr>
      </w:pPr>
    </w:p>
    <w:p w:rsidR="004141AB" w:rsidRDefault="004141AB" w:rsidP="004141AB">
      <w:pPr>
        <w:rPr>
          <w:rFonts w:asciiTheme="majorEastAsia" w:eastAsiaTheme="majorEastAsia" w:hAnsiTheme="majorEastAsia"/>
          <w:sz w:val="24"/>
          <w:szCs w:val="24"/>
        </w:rPr>
      </w:pPr>
    </w:p>
    <w:p w:rsidR="004141AB" w:rsidRPr="004141AB" w:rsidRDefault="004141AB" w:rsidP="004141AB">
      <w:pPr>
        <w:rPr>
          <w:rFonts w:asciiTheme="majorEastAsia" w:eastAsiaTheme="majorEastAsia" w:hAnsiTheme="majorEastAsia"/>
          <w:b/>
          <w:sz w:val="24"/>
        </w:rPr>
      </w:pPr>
      <w:r w:rsidRPr="004141AB">
        <w:rPr>
          <w:rFonts w:asciiTheme="majorEastAsia" w:eastAsiaTheme="majorEastAsia" w:hAnsiTheme="majorEastAsia" w:hint="eastAsia"/>
          <w:b/>
          <w:sz w:val="28"/>
          <w:szCs w:val="24"/>
        </w:rPr>
        <w:t>◇</w:t>
      </w:r>
      <w:r>
        <w:rPr>
          <w:rFonts w:asciiTheme="majorEastAsia" w:eastAsiaTheme="majorEastAsia" w:hAnsiTheme="majorEastAsia" w:hint="eastAsia"/>
          <w:b/>
          <w:sz w:val="28"/>
          <w:szCs w:val="24"/>
        </w:rPr>
        <w:t>家庭教育に困難を抱え孤立しがちな保護者への支援の促進</w:t>
      </w:r>
    </w:p>
    <w:p w:rsidR="00707B93" w:rsidRDefault="00707B93" w:rsidP="00707B93">
      <w:pPr>
        <w:ind w:leftChars="100" w:left="69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:rsidR="004141AB" w:rsidRPr="00707B93" w:rsidRDefault="00707B93" w:rsidP="00707B93">
      <w:pPr>
        <w:ind w:leftChars="100" w:left="69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○　</w:t>
      </w:r>
      <w:r w:rsidR="004141AB" w:rsidRPr="00707B93">
        <w:rPr>
          <w:rFonts w:asciiTheme="majorEastAsia" w:eastAsiaTheme="majorEastAsia" w:hAnsiTheme="majorEastAsia" w:hint="eastAsia"/>
          <w:sz w:val="24"/>
          <w:szCs w:val="24"/>
        </w:rPr>
        <w:t>地域人材で構成される家庭教育支援チームによる</w:t>
      </w:r>
      <w:r w:rsidR="00E743E3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4141AB" w:rsidRPr="00707B93">
        <w:rPr>
          <w:rFonts w:asciiTheme="majorEastAsia" w:eastAsiaTheme="majorEastAsia" w:hAnsiTheme="majorEastAsia" w:hint="eastAsia"/>
          <w:sz w:val="24"/>
          <w:szCs w:val="24"/>
        </w:rPr>
        <w:t>訪問型家庭教育支援</w:t>
      </w:r>
      <w:r w:rsidR="00E743E3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4141AB" w:rsidRPr="00707B93">
        <w:rPr>
          <w:rFonts w:asciiTheme="majorEastAsia" w:eastAsiaTheme="majorEastAsia" w:hAnsiTheme="majorEastAsia" w:hint="eastAsia"/>
          <w:sz w:val="24"/>
          <w:szCs w:val="24"/>
        </w:rPr>
        <w:t>を実施する市町村数は増加している</w:t>
      </w:r>
      <w:r w:rsidR="00E743E3">
        <w:rPr>
          <w:rFonts w:asciiTheme="majorEastAsia" w:eastAsiaTheme="majorEastAsia" w:hAnsiTheme="majorEastAsia" w:hint="eastAsia"/>
          <w:sz w:val="24"/>
          <w:szCs w:val="24"/>
        </w:rPr>
        <w:t>。しかし、</w:t>
      </w:r>
      <w:r w:rsidR="004141AB" w:rsidRPr="00707B93">
        <w:rPr>
          <w:rFonts w:asciiTheme="majorEastAsia" w:eastAsiaTheme="majorEastAsia" w:hAnsiTheme="majorEastAsia" w:hint="eastAsia"/>
          <w:sz w:val="24"/>
          <w:szCs w:val="24"/>
        </w:rPr>
        <w:t>現状</w:t>
      </w:r>
      <w:r w:rsidR="00E743E3">
        <w:rPr>
          <w:rFonts w:asciiTheme="majorEastAsia" w:eastAsiaTheme="majorEastAsia" w:hAnsiTheme="majorEastAsia" w:hint="eastAsia"/>
          <w:sz w:val="24"/>
          <w:szCs w:val="24"/>
        </w:rPr>
        <w:t>での実施市町村数は</w:t>
      </w:r>
      <w:r w:rsidR="004141AB" w:rsidRPr="00707B93">
        <w:rPr>
          <w:rFonts w:asciiTheme="majorEastAsia" w:eastAsiaTheme="majorEastAsia" w:hAnsiTheme="majorEastAsia" w:hint="eastAsia"/>
          <w:sz w:val="24"/>
          <w:szCs w:val="24"/>
        </w:rPr>
        <w:t>約1/3（</w:t>
      </w:r>
      <w:r w:rsidRPr="00707B93">
        <w:rPr>
          <w:rFonts w:asciiTheme="majorEastAsia" w:eastAsiaTheme="majorEastAsia" w:hAnsiTheme="majorEastAsia" w:hint="eastAsia"/>
          <w:sz w:val="24"/>
          <w:szCs w:val="24"/>
        </w:rPr>
        <w:t>Ｈ28現在</w:t>
      </w:r>
      <w:r w:rsidR="00E743E3">
        <w:rPr>
          <w:rFonts w:asciiTheme="majorEastAsia" w:eastAsiaTheme="majorEastAsia" w:hAnsiTheme="majorEastAsia" w:hint="eastAsia"/>
          <w:sz w:val="24"/>
          <w:szCs w:val="24"/>
        </w:rPr>
        <w:t xml:space="preserve">　15/41市町村</w:t>
      </w:r>
      <w:r w:rsidRPr="00707B93">
        <w:rPr>
          <w:rFonts w:asciiTheme="majorEastAsia" w:eastAsiaTheme="majorEastAsia" w:hAnsiTheme="majorEastAsia" w:hint="eastAsia"/>
          <w:sz w:val="24"/>
          <w:szCs w:val="24"/>
        </w:rPr>
        <w:t>）にとどまっている。</w:t>
      </w:r>
    </w:p>
    <w:p w:rsidR="00707B93" w:rsidRDefault="00707B93" w:rsidP="00707B93">
      <w:pPr>
        <w:pStyle w:val="aa"/>
        <w:spacing w:line="360" w:lineRule="auto"/>
        <w:ind w:leftChars="0" w:left="902"/>
        <w:rPr>
          <w:rFonts w:asciiTheme="majorEastAsia" w:eastAsiaTheme="majorEastAsia" w:hAnsiTheme="majorEastAsia"/>
          <w:sz w:val="24"/>
          <w:szCs w:val="24"/>
        </w:rPr>
      </w:pPr>
    </w:p>
    <w:p w:rsidR="00707B93" w:rsidRPr="00707B93" w:rsidRDefault="00707B93" w:rsidP="00707B93">
      <w:pPr>
        <w:ind w:leftChars="100" w:left="690" w:hangingChars="200" w:hanging="480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○　</w:t>
      </w:r>
      <w:r w:rsidRPr="00707B93">
        <w:rPr>
          <w:rFonts w:asciiTheme="majorEastAsia" w:eastAsiaTheme="majorEastAsia" w:hAnsiTheme="majorEastAsia" w:hint="eastAsia"/>
          <w:sz w:val="24"/>
          <w:szCs w:val="24"/>
        </w:rPr>
        <w:t>国においては、第2期教育振興基本計画（Ｈ25年度～Ｈ29年度）において、全ての小学校区で家庭教育に関する学習機会の確保や、家庭教育支援チームによる相談対応などの家庭教育支援を実施することを、成果指標として設定している。</w:t>
      </w:r>
    </w:p>
    <w:p w:rsidR="00707B93" w:rsidRPr="00707B93" w:rsidRDefault="00707B93" w:rsidP="00707B93">
      <w:pPr>
        <w:ind w:left="480"/>
        <w:rPr>
          <w:rFonts w:asciiTheme="majorEastAsia" w:eastAsiaTheme="majorEastAsia" w:hAnsiTheme="majorEastAsia"/>
          <w:sz w:val="24"/>
          <w:szCs w:val="24"/>
        </w:rPr>
      </w:pPr>
    </w:p>
    <w:sectPr w:rsidR="00707B93" w:rsidRPr="00707B93" w:rsidSect="00707B93">
      <w:pgSz w:w="11906" w:h="16838" w:code="9"/>
      <w:pgMar w:top="1134" w:right="1134" w:bottom="1134" w:left="1134" w:header="680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9EF" w:rsidRDefault="00D359EF" w:rsidP="00FD5501">
      <w:r>
        <w:separator/>
      </w:r>
    </w:p>
  </w:endnote>
  <w:endnote w:type="continuationSeparator" w:id="0">
    <w:p w:rsidR="00D359EF" w:rsidRDefault="00D359EF" w:rsidP="00FD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9EF" w:rsidRDefault="00D359EF" w:rsidP="00FD5501">
      <w:r>
        <w:separator/>
      </w:r>
    </w:p>
  </w:footnote>
  <w:footnote w:type="continuationSeparator" w:id="0">
    <w:p w:rsidR="00D359EF" w:rsidRDefault="00D359EF" w:rsidP="00FD5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61AC2"/>
    <w:multiLevelType w:val="hybridMultilevel"/>
    <w:tmpl w:val="80164DFA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>
    <w:nsid w:val="305F6689"/>
    <w:multiLevelType w:val="hybridMultilevel"/>
    <w:tmpl w:val="949EED7E"/>
    <w:lvl w:ilvl="0" w:tplc="3CB07ADA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3484787E"/>
    <w:multiLevelType w:val="hybridMultilevel"/>
    <w:tmpl w:val="7A6C02FA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4F7803DE">
      <w:numFmt w:val="bullet"/>
      <w:lvlText w:val="・"/>
      <w:lvlJc w:val="left"/>
      <w:pPr>
        <w:ind w:left="114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3EB15B68"/>
    <w:multiLevelType w:val="hybridMultilevel"/>
    <w:tmpl w:val="EDB4AA36"/>
    <w:lvl w:ilvl="0" w:tplc="91A4D742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C16CB"/>
    <w:multiLevelType w:val="hybridMultilevel"/>
    <w:tmpl w:val="35C2B7A6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48DE3D68"/>
    <w:multiLevelType w:val="hybridMultilevel"/>
    <w:tmpl w:val="DF40175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>
    <w:nsid w:val="4D33736E"/>
    <w:multiLevelType w:val="hybridMultilevel"/>
    <w:tmpl w:val="D442653A"/>
    <w:lvl w:ilvl="0" w:tplc="A502E132">
      <w:start w:val="1"/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>
    <w:nsid w:val="59BB1D88"/>
    <w:multiLevelType w:val="hybridMultilevel"/>
    <w:tmpl w:val="44C0E0F4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>
    <w:nsid w:val="6CFB3A0D"/>
    <w:multiLevelType w:val="hybridMultilevel"/>
    <w:tmpl w:val="8A8469E2"/>
    <w:lvl w:ilvl="0" w:tplc="91A4D742">
      <w:start w:val="1"/>
      <w:numFmt w:val="bullet"/>
      <w:lvlText w:val="○"/>
      <w:lvlJc w:val="left"/>
      <w:pPr>
        <w:ind w:left="90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>
    <w:nsid w:val="71650104"/>
    <w:multiLevelType w:val="hybridMultilevel"/>
    <w:tmpl w:val="303E0A70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>
    <w:nsid w:val="7EBF29DC"/>
    <w:multiLevelType w:val="hybridMultilevel"/>
    <w:tmpl w:val="A8020388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D2A45A70">
      <w:numFmt w:val="bullet"/>
      <w:lvlText w:val="・"/>
      <w:lvlJc w:val="left"/>
      <w:pPr>
        <w:ind w:left="114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48"/>
    <w:rsid w:val="00033248"/>
    <w:rsid w:val="0004619E"/>
    <w:rsid w:val="00046CC9"/>
    <w:rsid w:val="00081862"/>
    <w:rsid w:val="000F665E"/>
    <w:rsid w:val="00115A4C"/>
    <w:rsid w:val="001C1F13"/>
    <w:rsid w:val="001E19FA"/>
    <w:rsid w:val="001F0A93"/>
    <w:rsid w:val="0020415F"/>
    <w:rsid w:val="002911FF"/>
    <w:rsid w:val="00291DB5"/>
    <w:rsid w:val="002D4E55"/>
    <w:rsid w:val="00305C0F"/>
    <w:rsid w:val="00370B37"/>
    <w:rsid w:val="004141AB"/>
    <w:rsid w:val="00436CD9"/>
    <w:rsid w:val="0046701D"/>
    <w:rsid w:val="004C3795"/>
    <w:rsid w:val="004C471A"/>
    <w:rsid w:val="00517656"/>
    <w:rsid w:val="005D16CE"/>
    <w:rsid w:val="00692CDA"/>
    <w:rsid w:val="006A1098"/>
    <w:rsid w:val="00707B93"/>
    <w:rsid w:val="00726100"/>
    <w:rsid w:val="00731802"/>
    <w:rsid w:val="007D44D6"/>
    <w:rsid w:val="007D6D00"/>
    <w:rsid w:val="008317A4"/>
    <w:rsid w:val="00834487"/>
    <w:rsid w:val="00876065"/>
    <w:rsid w:val="008D66C9"/>
    <w:rsid w:val="008F036F"/>
    <w:rsid w:val="008F1749"/>
    <w:rsid w:val="009065B7"/>
    <w:rsid w:val="009526C9"/>
    <w:rsid w:val="00993850"/>
    <w:rsid w:val="00993948"/>
    <w:rsid w:val="009E32A4"/>
    <w:rsid w:val="00A05089"/>
    <w:rsid w:val="00B05A24"/>
    <w:rsid w:val="00B603CE"/>
    <w:rsid w:val="00BB5D8D"/>
    <w:rsid w:val="00C40F41"/>
    <w:rsid w:val="00CF4227"/>
    <w:rsid w:val="00D055CA"/>
    <w:rsid w:val="00D359EF"/>
    <w:rsid w:val="00D60BF6"/>
    <w:rsid w:val="00D94CA0"/>
    <w:rsid w:val="00DE0FBC"/>
    <w:rsid w:val="00E00B93"/>
    <w:rsid w:val="00E01075"/>
    <w:rsid w:val="00E743E3"/>
    <w:rsid w:val="00EC2C8E"/>
    <w:rsid w:val="00F136ED"/>
    <w:rsid w:val="00F3666E"/>
    <w:rsid w:val="00F5241B"/>
    <w:rsid w:val="00F641F1"/>
    <w:rsid w:val="00FB1E18"/>
    <w:rsid w:val="00FC5268"/>
    <w:rsid w:val="00FD5501"/>
    <w:rsid w:val="00FD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5501"/>
  </w:style>
  <w:style w:type="paragraph" w:styleId="a6">
    <w:name w:val="footer"/>
    <w:basedOn w:val="a"/>
    <w:link w:val="a7"/>
    <w:uiPriority w:val="99"/>
    <w:unhideWhenUsed/>
    <w:rsid w:val="00FD5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5501"/>
  </w:style>
  <w:style w:type="paragraph" w:styleId="a8">
    <w:name w:val="Balloon Text"/>
    <w:basedOn w:val="a"/>
    <w:link w:val="a9"/>
    <w:uiPriority w:val="99"/>
    <w:semiHidden/>
    <w:unhideWhenUsed/>
    <w:rsid w:val="00EC2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2C8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40F41"/>
    <w:pPr>
      <w:ind w:leftChars="400" w:left="840"/>
    </w:pPr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5501"/>
  </w:style>
  <w:style w:type="paragraph" w:styleId="a6">
    <w:name w:val="footer"/>
    <w:basedOn w:val="a"/>
    <w:link w:val="a7"/>
    <w:uiPriority w:val="99"/>
    <w:unhideWhenUsed/>
    <w:rsid w:val="00FD5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5501"/>
  </w:style>
  <w:style w:type="paragraph" w:styleId="a8">
    <w:name w:val="Balloon Text"/>
    <w:basedOn w:val="a"/>
    <w:link w:val="a9"/>
    <w:uiPriority w:val="99"/>
    <w:semiHidden/>
    <w:unhideWhenUsed/>
    <w:rsid w:val="00EC2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2C8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40F41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7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18AA6-D27D-4252-86C1-14AE19CF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cp:lastPrinted>2017-07-13T09:07:00Z</cp:lastPrinted>
  <dcterms:created xsi:type="dcterms:W3CDTF">2017-07-13T04:25:00Z</dcterms:created>
  <dcterms:modified xsi:type="dcterms:W3CDTF">2017-07-13T09:07:00Z</dcterms:modified>
</cp:coreProperties>
</file>