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E1" w:rsidRPr="00091D16" w:rsidRDefault="001C76E1" w:rsidP="00184C4D">
      <w:pPr>
        <w:ind w:left="1122" w:hangingChars="500" w:hanging="1122"/>
        <w:jc w:val="center"/>
        <w:rPr>
          <w:rFonts w:asciiTheme="majorEastAsia" w:eastAsiaTheme="majorEastAsia" w:hAnsiTheme="majorEastAsia"/>
        </w:rPr>
      </w:pPr>
      <w:r w:rsidRPr="00091D16">
        <w:rPr>
          <w:rFonts w:asciiTheme="majorEastAsia" w:eastAsiaTheme="majorEastAsia" w:hAnsiTheme="majorEastAsia" w:hint="eastAsia"/>
        </w:rPr>
        <w:t>平成27年度　第</w:t>
      </w:r>
      <w:r w:rsidR="00973480">
        <w:rPr>
          <w:rFonts w:asciiTheme="majorEastAsia" w:eastAsiaTheme="majorEastAsia" w:hAnsiTheme="majorEastAsia" w:hint="eastAsia"/>
        </w:rPr>
        <w:t>３</w:t>
      </w:r>
      <w:r w:rsidRPr="00091D16">
        <w:rPr>
          <w:rFonts w:asciiTheme="majorEastAsia" w:eastAsiaTheme="majorEastAsia" w:hAnsiTheme="majorEastAsia" w:hint="eastAsia"/>
        </w:rPr>
        <w:t>回大阪府社会教育委員会議</w:t>
      </w:r>
    </w:p>
    <w:p w:rsidR="001C76E1" w:rsidRDefault="001C76E1" w:rsidP="00184C4D">
      <w:pPr>
        <w:ind w:left="1122" w:hangingChars="500" w:hanging="1122"/>
      </w:pPr>
    </w:p>
    <w:p w:rsidR="001C76E1" w:rsidRDefault="001C76E1" w:rsidP="00184C4D">
      <w:pPr>
        <w:ind w:left="1122" w:hangingChars="500" w:hanging="1122"/>
      </w:pPr>
      <w:r>
        <w:rPr>
          <w:rFonts w:hint="eastAsia"/>
        </w:rPr>
        <w:t>日時　　　平成</w:t>
      </w:r>
      <w:r>
        <w:rPr>
          <w:rFonts w:hint="eastAsia"/>
        </w:rPr>
        <w:t>27</w:t>
      </w:r>
      <w:r>
        <w:rPr>
          <w:rFonts w:hint="eastAsia"/>
        </w:rPr>
        <w:t>年</w:t>
      </w:r>
      <w:r w:rsidR="00F55987">
        <w:rPr>
          <w:rFonts w:hint="eastAsia"/>
        </w:rPr>
        <w:t>12</w:t>
      </w:r>
      <w:r>
        <w:rPr>
          <w:rFonts w:hint="eastAsia"/>
        </w:rPr>
        <w:t>月</w:t>
      </w:r>
      <w:r w:rsidR="00F55987">
        <w:rPr>
          <w:rFonts w:hint="eastAsia"/>
        </w:rPr>
        <w:t>10</w:t>
      </w:r>
      <w:r>
        <w:rPr>
          <w:rFonts w:hint="eastAsia"/>
        </w:rPr>
        <w:t>日（</w:t>
      </w:r>
      <w:r w:rsidR="00F55987">
        <w:rPr>
          <w:rFonts w:hint="eastAsia"/>
        </w:rPr>
        <w:t>木</w:t>
      </w:r>
      <w:r>
        <w:rPr>
          <w:rFonts w:hint="eastAsia"/>
        </w:rPr>
        <w:t>）</w:t>
      </w:r>
      <w:r w:rsidR="00F55987">
        <w:rPr>
          <w:rFonts w:hint="eastAsia"/>
        </w:rPr>
        <w:t>10</w:t>
      </w:r>
      <w:r>
        <w:rPr>
          <w:rFonts w:hint="eastAsia"/>
        </w:rPr>
        <w:t>時～</w:t>
      </w:r>
      <w:r>
        <w:rPr>
          <w:rFonts w:hint="eastAsia"/>
        </w:rPr>
        <w:t>1</w:t>
      </w:r>
      <w:r w:rsidR="00F55987">
        <w:rPr>
          <w:rFonts w:hint="eastAsia"/>
        </w:rPr>
        <w:t>2</w:t>
      </w:r>
      <w:r>
        <w:rPr>
          <w:rFonts w:hint="eastAsia"/>
        </w:rPr>
        <w:t>時</w:t>
      </w:r>
    </w:p>
    <w:p w:rsidR="001C76E1" w:rsidRDefault="001C76E1" w:rsidP="00184C4D">
      <w:pPr>
        <w:ind w:left="1122" w:hangingChars="500" w:hanging="1122"/>
      </w:pPr>
      <w:r>
        <w:rPr>
          <w:rFonts w:hint="eastAsia"/>
        </w:rPr>
        <w:t xml:space="preserve">会場　　　</w:t>
      </w:r>
      <w:r w:rsidR="00F55987" w:rsidRPr="00F55987">
        <w:rPr>
          <w:rFonts w:hint="eastAsia"/>
        </w:rPr>
        <w:t>大阪府庁新別館北館４階　職員会議室７・８</w:t>
      </w:r>
      <w:bookmarkStart w:id="0" w:name="_GoBack"/>
      <w:bookmarkEnd w:id="0"/>
    </w:p>
    <w:p w:rsidR="003F15DB" w:rsidRDefault="001C76E1" w:rsidP="00184C4D">
      <w:pPr>
        <w:ind w:left="1122" w:hangingChars="500" w:hanging="1122"/>
      </w:pPr>
      <w:r>
        <w:rPr>
          <w:rFonts w:hint="eastAsia"/>
        </w:rPr>
        <w:t>出席者　　萩原議長、土居副議長、岸村委員、藤田委員、</w:t>
      </w:r>
      <w:r w:rsidRPr="00184C4D">
        <w:rPr>
          <w:rFonts w:hint="eastAsia"/>
        </w:rPr>
        <w:t>村田委員、</w:t>
      </w:r>
      <w:r>
        <w:rPr>
          <w:rFonts w:hint="eastAsia"/>
        </w:rPr>
        <w:t>杉島委員、尾﨑委員、</w:t>
      </w:r>
    </w:p>
    <w:p w:rsidR="001C76E1" w:rsidRDefault="001C76E1" w:rsidP="00184C4D">
      <w:pPr>
        <w:ind w:leftChars="500" w:left="2244" w:hanging="1122"/>
      </w:pPr>
      <w:r>
        <w:rPr>
          <w:rFonts w:hint="eastAsia"/>
        </w:rPr>
        <w:t>藤井委員、金子委員、竹下委員、面屋委員</w:t>
      </w:r>
    </w:p>
    <w:p w:rsidR="00F55987" w:rsidRDefault="00F55987"/>
    <w:p w:rsidR="001C76E1" w:rsidRDefault="001C76E1">
      <w:r w:rsidRPr="00A67DBB">
        <w:rPr>
          <w:rFonts w:hint="eastAsia"/>
        </w:rPr>
        <w:t>主な意見</w:t>
      </w:r>
      <w:r w:rsidR="00973480">
        <w:rPr>
          <w:rFonts w:hint="eastAsia"/>
        </w:rPr>
        <w:t xml:space="preserve">　</w:t>
      </w:r>
      <w:r w:rsidR="00F55987">
        <w:rPr>
          <w:rFonts w:hint="eastAsia"/>
        </w:rPr>
        <w:t>第</w:t>
      </w:r>
      <w:r w:rsidR="00973480">
        <w:rPr>
          <w:rFonts w:hint="eastAsia"/>
        </w:rPr>
        <w:t>3</w:t>
      </w:r>
      <w:r w:rsidR="00973480">
        <w:rPr>
          <w:rFonts w:hint="eastAsia"/>
        </w:rPr>
        <w:t>次計画素案に対する</w:t>
      </w:r>
      <w:r w:rsidR="00F55987">
        <w:rPr>
          <w:rFonts w:hint="eastAsia"/>
        </w:rPr>
        <w:t>助言</w:t>
      </w:r>
    </w:p>
    <w:tbl>
      <w:tblPr>
        <w:tblStyle w:val="ae"/>
        <w:tblpPr w:leftFromText="142" w:rightFromText="142" w:vertAnchor="text" w:horzAnchor="margin" w:tblpX="332" w:tblpY="2"/>
        <w:tblW w:w="0" w:type="auto"/>
        <w:tblLook w:val="04A0" w:firstRow="1" w:lastRow="0" w:firstColumn="1" w:lastColumn="0" w:noHBand="0" w:noVBand="1"/>
      </w:tblPr>
      <w:tblGrid>
        <w:gridCol w:w="513"/>
        <w:gridCol w:w="2395"/>
        <w:gridCol w:w="7616"/>
      </w:tblGrid>
      <w:tr w:rsidR="00F55987" w:rsidRPr="00973480" w:rsidTr="00F55987">
        <w:trPr>
          <w:trHeight w:val="340"/>
        </w:trPr>
        <w:tc>
          <w:tcPr>
            <w:tcW w:w="513" w:type="dxa"/>
            <w:vMerge w:val="restart"/>
            <w:noWrap/>
            <w:textDirection w:val="tbRlV"/>
            <w:hideMark/>
          </w:tcPr>
          <w:p w:rsidR="003429AB" w:rsidRPr="004D03D7" w:rsidRDefault="00F55987" w:rsidP="00184C4D">
            <w:pPr>
              <w:ind w:left="113" w:right="113"/>
              <w:jc w:val="center"/>
              <w:rPr>
                <w:sz w:val="20"/>
                <w:szCs w:val="20"/>
              </w:rPr>
            </w:pPr>
            <w:r>
              <w:rPr>
                <w:rFonts w:hint="eastAsia"/>
                <w:sz w:val="20"/>
                <w:szCs w:val="20"/>
              </w:rPr>
              <w:t>第</w:t>
            </w:r>
            <w:r w:rsidR="003429AB" w:rsidRPr="004D03D7">
              <w:rPr>
                <w:rFonts w:hint="eastAsia"/>
                <w:sz w:val="20"/>
                <w:szCs w:val="20"/>
              </w:rPr>
              <w:t>１章</w:t>
            </w:r>
          </w:p>
        </w:tc>
        <w:tc>
          <w:tcPr>
            <w:tcW w:w="2395" w:type="dxa"/>
            <w:vMerge w:val="restart"/>
            <w:vAlign w:val="center"/>
            <w:hideMark/>
          </w:tcPr>
          <w:p w:rsidR="003429AB" w:rsidRPr="004D03D7" w:rsidRDefault="003429AB" w:rsidP="00184C4D">
            <w:pPr>
              <w:rPr>
                <w:sz w:val="20"/>
                <w:szCs w:val="20"/>
              </w:rPr>
            </w:pPr>
            <w:r w:rsidRPr="004D03D7">
              <w:rPr>
                <w:rFonts w:hint="eastAsia"/>
                <w:sz w:val="20"/>
                <w:szCs w:val="20"/>
              </w:rPr>
              <w:t>１　なぜ計画の策定が必要か（計画策定の背景）</w:t>
            </w:r>
          </w:p>
        </w:tc>
        <w:tc>
          <w:tcPr>
            <w:tcW w:w="7616" w:type="dxa"/>
            <w:vAlign w:val="center"/>
            <w:hideMark/>
          </w:tcPr>
          <w:p w:rsidR="003429AB" w:rsidRPr="004D03D7" w:rsidRDefault="003429AB" w:rsidP="00184C4D">
            <w:pPr>
              <w:rPr>
                <w:sz w:val="20"/>
                <w:szCs w:val="20"/>
              </w:rPr>
            </w:pPr>
            <w:r w:rsidRPr="004D03D7">
              <w:rPr>
                <w:rFonts w:hint="eastAsia"/>
                <w:sz w:val="20"/>
                <w:szCs w:val="20"/>
              </w:rPr>
              <w:t>第１次計画の総括が欠けている。</w:t>
            </w:r>
          </w:p>
        </w:tc>
      </w:tr>
      <w:tr w:rsidR="00F55987" w:rsidRPr="00973480" w:rsidTr="00F55987">
        <w:trPr>
          <w:trHeight w:val="340"/>
        </w:trPr>
        <w:tc>
          <w:tcPr>
            <w:tcW w:w="513" w:type="dxa"/>
            <w:vMerge/>
            <w:noWrap/>
            <w:textDirection w:val="tbRlV"/>
            <w:hideMark/>
          </w:tcPr>
          <w:p w:rsidR="003429AB" w:rsidRPr="004D03D7" w:rsidRDefault="003429AB" w:rsidP="00184C4D">
            <w:pPr>
              <w:ind w:left="113" w:right="113"/>
              <w:jc w:val="center"/>
              <w:rPr>
                <w:sz w:val="20"/>
                <w:szCs w:val="20"/>
              </w:rPr>
            </w:pPr>
          </w:p>
        </w:tc>
        <w:tc>
          <w:tcPr>
            <w:tcW w:w="2395" w:type="dxa"/>
            <w:vMerge/>
            <w:vAlign w:val="center"/>
            <w:hideMark/>
          </w:tcPr>
          <w:p w:rsidR="003429AB" w:rsidRPr="004D03D7" w:rsidRDefault="003429AB" w:rsidP="00184C4D">
            <w:pPr>
              <w:rPr>
                <w:sz w:val="20"/>
                <w:szCs w:val="20"/>
              </w:rPr>
            </w:pPr>
          </w:p>
        </w:tc>
        <w:tc>
          <w:tcPr>
            <w:tcW w:w="7616" w:type="dxa"/>
            <w:vAlign w:val="center"/>
            <w:hideMark/>
          </w:tcPr>
          <w:p w:rsidR="003429AB" w:rsidRPr="004D03D7" w:rsidRDefault="003429AB" w:rsidP="00184C4D">
            <w:pPr>
              <w:rPr>
                <w:sz w:val="20"/>
                <w:szCs w:val="20"/>
              </w:rPr>
            </w:pPr>
            <w:r w:rsidRPr="004D03D7">
              <w:rPr>
                <w:rFonts w:hint="eastAsia"/>
                <w:sz w:val="20"/>
                <w:szCs w:val="20"/>
              </w:rPr>
              <w:t>学校司書の配置の拡大をフォーラム等の実施や各種研修の成果とする、高等学校の司書教諭の</w:t>
            </w:r>
            <w:r w:rsidRPr="004D03D7">
              <w:rPr>
                <w:rFonts w:hint="eastAsia"/>
                <w:sz w:val="20"/>
                <w:szCs w:val="20"/>
              </w:rPr>
              <w:t>100</w:t>
            </w:r>
            <w:r w:rsidRPr="004D03D7">
              <w:rPr>
                <w:rFonts w:hint="eastAsia"/>
                <w:sz w:val="20"/>
                <w:szCs w:val="20"/>
              </w:rPr>
              <w:t>％配置を</w:t>
            </w:r>
            <w:r w:rsidRPr="004D03D7">
              <w:rPr>
                <w:rFonts w:hint="eastAsia"/>
                <w:sz w:val="20"/>
                <w:szCs w:val="20"/>
              </w:rPr>
              <w:t>2</w:t>
            </w:r>
            <w:r w:rsidRPr="004D03D7">
              <w:rPr>
                <w:rFonts w:hint="eastAsia"/>
                <w:sz w:val="20"/>
                <w:szCs w:val="20"/>
              </w:rPr>
              <w:t>次計画の成果とする記述は正確でない。</w:t>
            </w:r>
          </w:p>
        </w:tc>
      </w:tr>
      <w:tr w:rsidR="00F55987" w:rsidRPr="00973480" w:rsidTr="00F55987">
        <w:trPr>
          <w:trHeight w:val="340"/>
        </w:trPr>
        <w:tc>
          <w:tcPr>
            <w:tcW w:w="513" w:type="dxa"/>
            <w:vMerge w:val="restart"/>
            <w:noWrap/>
            <w:textDirection w:val="tbRlV"/>
            <w:hideMark/>
          </w:tcPr>
          <w:p w:rsidR="003429AB" w:rsidRPr="004D03D7" w:rsidRDefault="00F55987" w:rsidP="00184C4D">
            <w:pPr>
              <w:ind w:left="113" w:right="113"/>
              <w:jc w:val="center"/>
              <w:rPr>
                <w:sz w:val="20"/>
                <w:szCs w:val="20"/>
              </w:rPr>
            </w:pPr>
            <w:r>
              <w:rPr>
                <w:rFonts w:hint="eastAsia"/>
                <w:sz w:val="20"/>
                <w:szCs w:val="20"/>
              </w:rPr>
              <w:t>第</w:t>
            </w:r>
            <w:r w:rsidR="003429AB" w:rsidRPr="004D03D7">
              <w:rPr>
                <w:rFonts w:hint="eastAsia"/>
                <w:sz w:val="20"/>
                <w:szCs w:val="20"/>
              </w:rPr>
              <w:t>２章</w:t>
            </w:r>
          </w:p>
        </w:tc>
        <w:tc>
          <w:tcPr>
            <w:tcW w:w="2395" w:type="dxa"/>
            <w:vAlign w:val="center"/>
            <w:hideMark/>
          </w:tcPr>
          <w:p w:rsidR="003429AB" w:rsidRPr="004D03D7" w:rsidRDefault="003429AB" w:rsidP="00184C4D">
            <w:pPr>
              <w:rPr>
                <w:sz w:val="20"/>
                <w:szCs w:val="20"/>
              </w:rPr>
            </w:pPr>
            <w:r w:rsidRPr="004D03D7">
              <w:rPr>
                <w:rFonts w:hint="eastAsia"/>
                <w:sz w:val="20"/>
                <w:szCs w:val="20"/>
              </w:rPr>
              <w:t>１　基本理念</w:t>
            </w:r>
          </w:p>
        </w:tc>
        <w:tc>
          <w:tcPr>
            <w:tcW w:w="7616" w:type="dxa"/>
            <w:vAlign w:val="center"/>
            <w:hideMark/>
          </w:tcPr>
          <w:p w:rsidR="003429AB" w:rsidRPr="004D03D7" w:rsidRDefault="003429AB" w:rsidP="00184C4D">
            <w:pPr>
              <w:rPr>
                <w:sz w:val="20"/>
                <w:szCs w:val="20"/>
              </w:rPr>
            </w:pPr>
            <w:r w:rsidRPr="004D03D7">
              <w:rPr>
                <w:rFonts w:hint="eastAsia"/>
                <w:sz w:val="20"/>
                <w:szCs w:val="20"/>
              </w:rPr>
              <w:t>＜子どもの読書活動推進の意義＞の冒頭部分の主語・述語が混乱している。</w:t>
            </w:r>
          </w:p>
        </w:tc>
      </w:tr>
      <w:tr w:rsidR="00F55987" w:rsidRPr="00973480" w:rsidTr="00F55987">
        <w:trPr>
          <w:trHeight w:val="340"/>
        </w:trPr>
        <w:tc>
          <w:tcPr>
            <w:tcW w:w="513" w:type="dxa"/>
            <w:vMerge/>
            <w:noWrap/>
            <w:textDirection w:val="tbRlV"/>
            <w:hideMark/>
          </w:tcPr>
          <w:p w:rsidR="003429AB" w:rsidRPr="004D03D7" w:rsidRDefault="003429AB" w:rsidP="00184C4D">
            <w:pPr>
              <w:ind w:left="113" w:right="113"/>
              <w:jc w:val="center"/>
              <w:rPr>
                <w:sz w:val="20"/>
                <w:szCs w:val="20"/>
              </w:rPr>
            </w:pPr>
          </w:p>
        </w:tc>
        <w:tc>
          <w:tcPr>
            <w:tcW w:w="2395" w:type="dxa"/>
            <w:vAlign w:val="center"/>
            <w:hideMark/>
          </w:tcPr>
          <w:p w:rsidR="003429AB" w:rsidRPr="004D03D7" w:rsidRDefault="003429AB" w:rsidP="00184C4D">
            <w:pPr>
              <w:rPr>
                <w:sz w:val="20"/>
                <w:szCs w:val="20"/>
              </w:rPr>
            </w:pPr>
            <w:r w:rsidRPr="004D03D7">
              <w:rPr>
                <w:rFonts w:hint="eastAsia"/>
                <w:sz w:val="20"/>
                <w:szCs w:val="20"/>
              </w:rPr>
              <w:t>２　子どもの読書活動推進のための基本方針</w:t>
            </w:r>
          </w:p>
        </w:tc>
        <w:tc>
          <w:tcPr>
            <w:tcW w:w="7616" w:type="dxa"/>
            <w:vAlign w:val="center"/>
            <w:hideMark/>
          </w:tcPr>
          <w:p w:rsidR="003429AB" w:rsidRPr="004D03D7" w:rsidRDefault="003429AB" w:rsidP="00184C4D">
            <w:pPr>
              <w:rPr>
                <w:sz w:val="20"/>
                <w:szCs w:val="20"/>
              </w:rPr>
            </w:pPr>
            <w:r w:rsidRPr="004D03D7">
              <w:rPr>
                <w:rFonts w:hint="eastAsia"/>
                <w:sz w:val="20"/>
                <w:szCs w:val="20"/>
              </w:rPr>
              <w:t>基本方針に読書の「楽しさ」、「感動」に関する記述を加えるとよい。</w:t>
            </w:r>
          </w:p>
        </w:tc>
      </w:tr>
      <w:tr w:rsidR="00F55987" w:rsidRPr="00973480" w:rsidTr="00F55987">
        <w:trPr>
          <w:trHeight w:val="340"/>
        </w:trPr>
        <w:tc>
          <w:tcPr>
            <w:tcW w:w="513" w:type="dxa"/>
            <w:vMerge w:val="restart"/>
            <w:noWrap/>
            <w:textDirection w:val="tbRlV"/>
            <w:hideMark/>
          </w:tcPr>
          <w:p w:rsidR="003429AB" w:rsidRPr="004D03D7" w:rsidRDefault="00F55987" w:rsidP="00184C4D">
            <w:pPr>
              <w:ind w:left="113" w:right="113"/>
              <w:jc w:val="center"/>
              <w:rPr>
                <w:sz w:val="20"/>
                <w:szCs w:val="20"/>
              </w:rPr>
            </w:pPr>
            <w:r>
              <w:rPr>
                <w:rFonts w:hint="eastAsia"/>
                <w:sz w:val="20"/>
                <w:szCs w:val="20"/>
              </w:rPr>
              <w:t>第</w:t>
            </w:r>
            <w:r w:rsidR="003429AB" w:rsidRPr="004D03D7">
              <w:rPr>
                <w:rFonts w:hint="eastAsia"/>
                <w:sz w:val="20"/>
                <w:szCs w:val="20"/>
              </w:rPr>
              <w:t>３章</w:t>
            </w:r>
          </w:p>
        </w:tc>
        <w:tc>
          <w:tcPr>
            <w:tcW w:w="2395" w:type="dxa"/>
            <w:vAlign w:val="center"/>
            <w:hideMark/>
          </w:tcPr>
          <w:p w:rsidR="003429AB" w:rsidRPr="004D03D7" w:rsidRDefault="003429AB" w:rsidP="00184C4D">
            <w:pPr>
              <w:rPr>
                <w:sz w:val="20"/>
                <w:szCs w:val="20"/>
              </w:rPr>
            </w:pPr>
            <w:r w:rsidRPr="004D03D7">
              <w:rPr>
                <w:rFonts w:hint="eastAsia"/>
                <w:sz w:val="20"/>
                <w:szCs w:val="20"/>
              </w:rPr>
              <w:t>１　具体的な取組みの体系とその指標</w:t>
            </w:r>
          </w:p>
        </w:tc>
        <w:tc>
          <w:tcPr>
            <w:tcW w:w="7616" w:type="dxa"/>
            <w:vAlign w:val="center"/>
            <w:hideMark/>
          </w:tcPr>
          <w:p w:rsidR="003429AB" w:rsidRPr="004D03D7" w:rsidRDefault="003429AB" w:rsidP="00184C4D">
            <w:pPr>
              <w:rPr>
                <w:sz w:val="20"/>
                <w:szCs w:val="20"/>
              </w:rPr>
            </w:pPr>
            <w:r w:rsidRPr="004D03D7">
              <w:rPr>
                <w:rFonts w:hint="eastAsia"/>
                <w:sz w:val="20"/>
                <w:szCs w:val="20"/>
              </w:rPr>
              <w:t>一斉読書は中学生は効果があるが高校生に一律に課することは疑問。</w:t>
            </w:r>
          </w:p>
        </w:tc>
      </w:tr>
      <w:tr w:rsidR="00F55987" w:rsidRPr="00973480" w:rsidTr="00F55987">
        <w:trPr>
          <w:trHeight w:val="340"/>
        </w:trPr>
        <w:tc>
          <w:tcPr>
            <w:tcW w:w="513" w:type="dxa"/>
            <w:vMerge/>
            <w:noWrap/>
            <w:textDirection w:val="tbRlV"/>
            <w:hideMark/>
          </w:tcPr>
          <w:p w:rsidR="003429AB" w:rsidRPr="004D03D7" w:rsidRDefault="003429AB" w:rsidP="00184C4D">
            <w:pPr>
              <w:ind w:left="113" w:right="113"/>
              <w:jc w:val="center"/>
              <w:rPr>
                <w:sz w:val="20"/>
                <w:szCs w:val="20"/>
              </w:rPr>
            </w:pPr>
          </w:p>
        </w:tc>
        <w:tc>
          <w:tcPr>
            <w:tcW w:w="2395" w:type="dxa"/>
            <w:vMerge w:val="restart"/>
            <w:vAlign w:val="center"/>
            <w:hideMark/>
          </w:tcPr>
          <w:p w:rsidR="003429AB" w:rsidRPr="004D03D7" w:rsidRDefault="003429AB" w:rsidP="00184C4D">
            <w:pPr>
              <w:rPr>
                <w:sz w:val="20"/>
                <w:szCs w:val="20"/>
              </w:rPr>
            </w:pPr>
            <w:r w:rsidRPr="004D03D7">
              <w:rPr>
                <w:rFonts w:hint="eastAsia"/>
                <w:sz w:val="20"/>
                <w:szCs w:val="20"/>
              </w:rPr>
              <w:t>２　子どもが本と出合うために（きっかけづくり）</w:t>
            </w:r>
          </w:p>
        </w:tc>
        <w:tc>
          <w:tcPr>
            <w:tcW w:w="7616" w:type="dxa"/>
            <w:vAlign w:val="center"/>
            <w:hideMark/>
          </w:tcPr>
          <w:p w:rsidR="003429AB" w:rsidRPr="004D03D7" w:rsidRDefault="003429AB" w:rsidP="00184C4D">
            <w:pPr>
              <w:rPr>
                <w:sz w:val="20"/>
                <w:szCs w:val="20"/>
              </w:rPr>
            </w:pPr>
            <w:r w:rsidRPr="004D03D7">
              <w:rPr>
                <w:rFonts w:hint="eastAsia"/>
                <w:sz w:val="20"/>
                <w:szCs w:val="20"/>
              </w:rPr>
              <w:t>府が主体となって進める取組み</w:t>
            </w:r>
            <w:r w:rsidR="00F55987">
              <w:rPr>
                <w:rFonts w:hint="eastAsia"/>
                <w:sz w:val="20"/>
                <w:szCs w:val="20"/>
              </w:rPr>
              <w:t>として、</w:t>
            </w:r>
            <w:r w:rsidRPr="004D03D7">
              <w:rPr>
                <w:rFonts w:hint="eastAsia"/>
                <w:sz w:val="20"/>
                <w:szCs w:val="20"/>
              </w:rPr>
              <w:t>図書館はブックリストをつくるべき、また図書館だけでなく書店や街なかなど、子どもや保護者が訪れる場所に配置すべき、ブックリスト作成にあたっては、司書だけでなく様々な人の意見を聞いて作成すべき</w:t>
            </w:r>
          </w:p>
        </w:tc>
      </w:tr>
      <w:tr w:rsidR="00F55987" w:rsidRPr="00973480" w:rsidTr="00F55987">
        <w:trPr>
          <w:trHeight w:val="340"/>
        </w:trPr>
        <w:tc>
          <w:tcPr>
            <w:tcW w:w="513" w:type="dxa"/>
            <w:vMerge/>
            <w:noWrap/>
            <w:textDirection w:val="tbRlV"/>
            <w:hideMark/>
          </w:tcPr>
          <w:p w:rsidR="003429AB" w:rsidRPr="004D03D7" w:rsidRDefault="003429AB" w:rsidP="00184C4D">
            <w:pPr>
              <w:ind w:left="113" w:right="113"/>
              <w:jc w:val="center"/>
              <w:rPr>
                <w:sz w:val="20"/>
                <w:szCs w:val="20"/>
              </w:rPr>
            </w:pPr>
          </w:p>
        </w:tc>
        <w:tc>
          <w:tcPr>
            <w:tcW w:w="2395" w:type="dxa"/>
            <w:vMerge/>
            <w:vAlign w:val="center"/>
            <w:hideMark/>
          </w:tcPr>
          <w:p w:rsidR="003429AB" w:rsidRPr="004D03D7" w:rsidRDefault="003429AB" w:rsidP="00184C4D">
            <w:pPr>
              <w:rPr>
                <w:sz w:val="20"/>
                <w:szCs w:val="20"/>
              </w:rPr>
            </w:pPr>
          </w:p>
        </w:tc>
        <w:tc>
          <w:tcPr>
            <w:tcW w:w="7616" w:type="dxa"/>
            <w:vAlign w:val="center"/>
            <w:hideMark/>
          </w:tcPr>
          <w:p w:rsidR="003429AB" w:rsidRPr="004D03D7" w:rsidRDefault="003429AB" w:rsidP="00184C4D">
            <w:pPr>
              <w:rPr>
                <w:sz w:val="20"/>
                <w:szCs w:val="20"/>
              </w:rPr>
            </w:pPr>
            <w:r w:rsidRPr="004D03D7">
              <w:rPr>
                <w:rFonts w:hint="eastAsia"/>
                <w:sz w:val="20"/>
                <w:szCs w:val="20"/>
              </w:rPr>
              <w:t>新刊紹介について保護者も対象にしてほしい。</w:t>
            </w:r>
          </w:p>
        </w:tc>
      </w:tr>
      <w:tr w:rsidR="00F55987" w:rsidRPr="00973480" w:rsidTr="00F55987">
        <w:trPr>
          <w:trHeight w:val="340"/>
        </w:trPr>
        <w:tc>
          <w:tcPr>
            <w:tcW w:w="513" w:type="dxa"/>
            <w:vMerge/>
            <w:noWrap/>
            <w:textDirection w:val="tbRlV"/>
            <w:hideMark/>
          </w:tcPr>
          <w:p w:rsidR="003429AB" w:rsidRPr="004D03D7" w:rsidRDefault="003429AB" w:rsidP="00184C4D">
            <w:pPr>
              <w:ind w:left="113" w:right="113"/>
              <w:jc w:val="center"/>
              <w:rPr>
                <w:sz w:val="20"/>
                <w:szCs w:val="20"/>
              </w:rPr>
            </w:pPr>
          </w:p>
        </w:tc>
        <w:tc>
          <w:tcPr>
            <w:tcW w:w="2395" w:type="dxa"/>
            <w:vMerge/>
            <w:vAlign w:val="center"/>
            <w:hideMark/>
          </w:tcPr>
          <w:p w:rsidR="003429AB" w:rsidRPr="004D03D7" w:rsidRDefault="003429AB" w:rsidP="00184C4D">
            <w:pPr>
              <w:rPr>
                <w:sz w:val="20"/>
                <w:szCs w:val="20"/>
              </w:rPr>
            </w:pPr>
          </w:p>
        </w:tc>
        <w:tc>
          <w:tcPr>
            <w:tcW w:w="7616" w:type="dxa"/>
            <w:vAlign w:val="center"/>
            <w:hideMark/>
          </w:tcPr>
          <w:p w:rsidR="003429AB" w:rsidRPr="004D03D7" w:rsidRDefault="003429AB" w:rsidP="00184C4D">
            <w:pPr>
              <w:rPr>
                <w:sz w:val="20"/>
                <w:szCs w:val="20"/>
              </w:rPr>
            </w:pPr>
            <w:r w:rsidRPr="004D03D7">
              <w:rPr>
                <w:rFonts w:hint="eastAsia"/>
                <w:sz w:val="20"/>
                <w:szCs w:val="20"/>
              </w:rPr>
              <w:t>社会全体で取組みを進めるための実践例</w:t>
            </w:r>
            <w:r>
              <w:rPr>
                <w:rFonts w:hint="eastAsia"/>
                <w:sz w:val="20"/>
                <w:szCs w:val="20"/>
              </w:rPr>
              <w:t>の表題について</w:t>
            </w:r>
            <w:r w:rsidRPr="004D03D7">
              <w:rPr>
                <w:rFonts w:hint="eastAsia"/>
                <w:sz w:val="20"/>
                <w:szCs w:val="20"/>
              </w:rPr>
              <w:t>「実践例」という表記が堅い印象、表題の付け方に工夫を</w:t>
            </w:r>
          </w:p>
        </w:tc>
      </w:tr>
      <w:tr w:rsidR="00F55987" w:rsidRPr="00973480" w:rsidTr="00F55987">
        <w:trPr>
          <w:trHeight w:val="340"/>
        </w:trPr>
        <w:tc>
          <w:tcPr>
            <w:tcW w:w="513" w:type="dxa"/>
            <w:vMerge/>
            <w:noWrap/>
            <w:textDirection w:val="tbRlV"/>
            <w:hideMark/>
          </w:tcPr>
          <w:p w:rsidR="003429AB" w:rsidRPr="004D03D7" w:rsidRDefault="003429AB" w:rsidP="00184C4D">
            <w:pPr>
              <w:ind w:left="113" w:right="113"/>
              <w:jc w:val="center"/>
              <w:rPr>
                <w:sz w:val="20"/>
                <w:szCs w:val="20"/>
              </w:rPr>
            </w:pPr>
          </w:p>
        </w:tc>
        <w:tc>
          <w:tcPr>
            <w:tcW w:w="2395" w:type="dxa"/>
            <w:vAlign w:val="center"/>
            <w:hideMark/>
          </w:tcPr>
          <w:p w:rsidR="003429AB" w:rsidRPr="004D03D7" w:rsidRDefault="003429AB" w:rsidP="00184C4D">
            <w:pPr>
              <w:rPr>
                <w:sz w:val="20"/>
                <w:szCs w:val="20"/>
              </w:rPr>
            </w:pPr>
            <w:r w:rsidRPr="004D03D7">
              <w:rPr>
                <w:rFonts w:hint="eastAsia"/>
                <w:sz w:val="20"/>
                <w:szCs w:val="20"/>
              </w:rPr>
              <w:t>３　子どもが本と親しむために（本を読むことの習慣化）</w:t>
            </w:r>
          </w:p>
        </w:tc>
        <w:tc>
          <w:tcPr>
            <w:tcW w:w="7616" w:type="dxa"/>
            <w:vAlign w:val="center"/>
            <w:hideMark/>
          </w:tcPr>
          <w:p w:rsidR="003429AB" w:rsidRPr="004D03D7" w:rsidRDefault="003429AB" w:rsidP="00184C4D">
            <w:pPr>
              <w:rPr>
                <w:sz w:val="20"/>
                <w:szCs w:val="20"/>
              </w:rPr>
            </w:pPr>
            <w:r w:rsidRPr="004D03D7">
              <w:rPr>
                <w:rFonts w:hint="eastAsia"/>
                <w:sz w:val="20"/>
                <w:szCs w:val="20"/>
              </w:rPr>
              <w:t>社会全体で取組みを進めるための実践例</w:t>
            </w:r>
            <w:r>
              <w:rPr>
                <w:rFonts w:hint="eastAsia"/>
                <w:sz w:val="20"/>
                <w:szCs w:val="20"/>
              </w:rPr>
              <w:t>に、</w:t>
            </w:r>
            <w:r w:rsidRPr="004D03D7">
              <w:rPr>
                <w:rFonts w:hint="eastAsia"/>
                <w:sz w:val="20"/>
                <w:szCs w:val="20"/>
              </w:rPr>
              <w:t>読書ノート運動や「書店に行く」ことについて推奨すべき</w:t>
            </w:r>
          </w:p>
        </w:tc>
      </w:tr>
      <w:tr w:rsidR="00F55987" w:rsidRPr="00973480" w:rsidTr="00F55987">
        <w:trPr>
          <w:trHeight w:val="340"/>
        </w:trPr>
        <w:tc>
          <w:tcPr>
            <w:tcW w:w="513" w:type="dxa"/>
            <w:vMerge w:val="restart"/>
            <w:noWrap/>
            <w:textDirection w:val="tbRlV"/>
            <w:hideMark/>
          </w:tcPr>
          <w:p w:rsidR="003429AB" w:rsidRPr="004D03D7" w:rsidRDefault="00F55987" w:rsidP="00184C4D">
            <w:pPr>
              <w:ind w:left="113" w:right="113"/>
              <w:jc w:val="center"/>
              <w:rPr>
                <w:sz w:val="20"/>
                <w:szCs w:val="20"/>
              </w:rPr>
            </w:pPr>
            <w:r>
              <w:rPr>
                <w:rFonts w:hint="eastAsia"/>
                <w:sz w:val="20"/>
                <w:szCs w:val="20"/>
              </w:rPr>
              <w:t>第</w:t>
            </w:r>
            <w:r w:rsidR="003429AB" w:rsidRPr="004D03D7">
              <w:rPr>
                <w:rFonts w:hint="eastAsia"/>
                <w:sz w:val="20"/>
                <w:szCs w:val="20"/>
              </w:rPr>
              <w:t>４章</w:t>
            </w:r>
          </w:p>
        </w:tc>
        <w:tc>
          <w:tcPr>
            <w:tcW w:w="2395" w:type="dxa"/>
            <w:vAlign w:val="center"/>
            <w:hideMark/>
          </w:tcPr>
          <w:p w:rsidR="003429AB" w:rsidRPr="004D03D7" w:rsidRDefault="003429AB" w:rsidP="00184C4D">
            <w:pPr>
              <w:rPr>
                <w:sz w:val="20"/>
                <w:szCs w:val="20"/>
              </w:rPr>
            </w:pPr>
            <w:r w:rsidRPr="004D03D7">
              <w:rPr>
                <w:rFonts w:hint="eastAsia"/>
                <w:sz w:val="20"/>
                <w:szCs w:val="20"/>
              </w:rPr>
              <w:t>２　子どもの発達段階に応じた取組み</w:t>
            </w:r>
          </w:p>
        </w:tc>
        <w:tc>
          <w:tcPr>
            <w:tcW w:w="7616" w:type="dxa"/>
            <w:vAlign w:val="center"/>
            <w:hideMark/>
          </w:tcPr>
          <w:p w:rsidR="003429AB" w:rsidRPr="004D03D7" w:rsidRDefault="003429AB" w:rsidP="00184C4D">
            <w:pPr>
              <w:rPr>
                <w:sz w:val="20"/>
                <w:szCs w:val="20"/>
              </w:rPr>
            </w:pPr>
            <w:r w:rsidRPr="004D03D7">
              <w:rPr>
                <w:rFonts w:hint="eastAsia"/>
                <w:sz w:val="20"/>
                <w:szCs w:val="20"/>
              </w:rPr>
              <w:t>中学生期と高校生期は課題や取組みが異なるため、別々に記述するべき</w:t>
            </w:r>
          </w:p>
        </w:tc>
      </w:tr>
      <w:tr w:rsidR="00F55987" w:rsidRPr="00973480" w:rsidTr="00F55987">
        <w:trPr>
          <w:trHeight w:val="340"/>
        </w:trPr>
        <w:tc>
          <w:tcPr>
            <w:tcW w:w="513" w:type="dxa"/>
            <w:vMerge/>
            <w:noWrap/>
            <w:textDirection w:val="tbRlV"/>
            <w:hideMark/>
          </w:tcPr>
          <w:p w:rsidR="003429AB" w:rsidRPr="004D03D7" w:rsidRDefault="003429AB" w:rsidP="00184C4D">
            <w:pPr>
              <w:ind w:left="113" w:right="113"/>
              <w:jc w:val="center"/>
              <w:rPr>
                <w:sz w:val="20"/>
                <w:szCs w:val="20"/>
              </w:rPr>
            </w:pPr>
          </w:p>
        </w:tc>
        <w:tc>
          <w:tcPr>
            <w:tcW w:w="2395" w:type="dxa"/>
            <w:vAlign w:val="center"/>
            <w:hideMark/>
          </w:tcPr>
          <w:p w:rsidR="003429AB" w:rsidRPr="004D03D7" w:rsidRDefault="003429AB" w:rsidP="00184C4D">
            <w:pPr>
              <w:rPr>
                <w:sz w:val="20"/>
                <w:szCs w:val="20"/>
              </w:rPr>
            </w:pPr>
            <w:r w:rsidRPr="004D03D7">
              <w:rPr>
                <w:rFonts w:hint="eastAsia"/>
                <w:sz w:val="20"/>
                <w:szCs w:val="20"/>
              </w:rPr>
              <w:t>３　子どもの生活の場ごとに応じた取組み</w:t>
            </w:r>
          </w:p>
        </w:tc>
        <w:tc>
          <w:tcPr>
            <w:tcW w:w="7616" w:type="dxa"/>
            <w:vAlign w:val="center"/>
            <w:hideMark/>
          </w:tcPr>
          <w:p w:rsidR="003429AB" w:rsidRPr="004D03D7" w:rsidRDefault="003429AB" w:rsidP="00184C4D">
            <w:pPr>
              <w:rPr>
                <w:sz w:val="20"/>
                <w:szCs w:val="20"/>
              </w:rPr>
            </w:pPr>
            <w:r w:rsidRPr="004D03D7">
              <w:rPr>
                <w:rFonts w:hint="eastAsia"/>
                <w:sz w:val="20"/>
                <w:szCs w:val="20"/>
              </w:rPr>
              <w:t>保健センターの役割を追記すべき</w:t>
            </w:r>
          </w:p>
        </w:tc>
      </w:tr>
      <w:tr w:rsidR="00F55987" w:rsidRPr="00973480" w:rsidTr="00184C4D">
        <w:trPr>
          <w:cantSplit/>
          <w:trHeight w:val="907"/>
        </w:trPr>
        <w:tc>
          <w:tcPr>
            <w:tcW w:w="513" w:type="dxa"/>
            <w:noWrap/>
            <w:textDirection w:val="tbRlV"/>
            <w:hideMark/>
          </w:tcPr>
          <w:p w:rsidR="003429AB" w:rsidRPr="004D03D7" w:rsidRDefault="00F55987" w:rsidP="00184C4D">
            <w:pPr>
              <w:ind w:left="113" w:right="113"/>
              <w:jc w:val="center"/>
              <w:rPr>
                <w:sz w:val="20"/>
                <w:szCs w:val="20"/>
              </w:rPr>
            </w:pPr>
            <w:r>
              <w:rPr>
                <w:rFonts w:hint="eastAsia"/>
                <w:sz w:val="20"/>
                <w:szCs w:val="20"/>
              </w:rPr>
              <w:t>第</w:t>
            </w:r>
            <w:r w:rsidR="003429AB" w:rsidRPr="004D03D7">
              <w:rPr>
                <w:rFonts w:hint="eastAsia"/>
                <w:sz w:val="20"/>
                <w:szCs w:val="20"/>
              </w:rPr>
              <w:t>５章</w:t>
            </w:r>
          </w:p>
        </w:tc>
        <w:tc>
          <w:tcPr>
            <w:tcW w:w="2395" w:type="dxa"/>
            <w:vAlign w:val="center"/>
            <w:hideMark/>
          </w:tcPr>
          <w:p w:rsidR="003429AB" w:rsidRPr="004D03D7" w:rsidRDefault="003429AB" w:rsidP="00184C4D">
            <w:pPr>
              <w:rPr>
                <w:sz w:val="20"/>
                <w:szCs w:val="20"/>
              </w:rPr>
            </w:pPr>
            <w:r w:rsidRPr="004D03D7">
              <w:rPr>
                <w:rFonts w:hint="eastAsia"/>
                <w:sz w:val="20"/>
                <w:szCs w:val="20"/>
              </w:rPr>
              <w:t>３　用語解説</w:t>
            </w:r>
          </w:p>
        </w:tc>
        <w:tc>
          <w:tcPr>
            <w:tcW w:w="7616" w:type="dxa"/>
            <w:vAlign w:val="center"/>
            <w:hideMark/>
          </w:tcPr>
          <w:p w:rsidR="003429AB" w:rsidRPr="004D03D7" w:rsidRDefault="003429AB" w:rsidP="00184C4D">
            <w:pPr>
              <w:rPr>
                <w:sz w:val="20"/>
                <w:szCs w:val="20"/>
              </w:rPr>
            </w:pPr>
            <w:r w:rsidRPr="004D03D7">
              <w:rPr>
                <w:rFonts w:hint="eastAsia"/>
                <w:sz w:val="20"/>
                <w:szCs w:val="20"/>
              </w:rPr>
              <w:t>用語解説をきめ細かくした方がよい</w:t>
            </w:r>
          </w:p>
        </w:tc>
      </w:tr>
      <w:tr w:rsidR="00F55987" w:rsidRPr="00973480" w:rsidTr="00184C4D">
        <w:trPr>
          <w:cantSplit/>
          <w:trHeight w:val="340"/>
        </w:trPr>
        <w:tc>
          <w:tcPr>
            <w:tcW w:w="513" w:type="dxa"/>
            <w:vMerge w:val="restart"/>
            <w:noWrap/>
            <w:textDirection w:val="tbRlV"/>
          </w:tcPr>
          <w:p w:rsidR="003429AB" w:rsidRPr="004D03D7" w:rsidRDefault="003429AB" w:rsidP="00184C4D">
            <w:pPr>
              <w:ind w:left="113" w:right="113"/>
              <w:jc w:val="center"/>
              <w:rPr>
                <w:sz w:val="20"/>
                <w:szCs w:val="20"/>
              </w:rPr>
            </w:pPr>
            <w:r w:rsidRPr="004D03D7">
              <w:rPr>
                <w:rFonts w:hint="eastAsia"/>
                <w:sz w:val="20"/>
                <w:szCs w:val="20"/>
              </w:rPr>
              <w:t>その他</w:t>
            </w:r>
          </w:p>
        </w:tc>
        <w:tc>
          <w:tcPr>
            <w:tcW w:w="2395" w:type="dxa"/>
            <w:noWrap/>
            <w:vAlign w:val="center"/>
            <w:hideMark/>
          </w:tcPr>
          <w:p w:rsidR="003429AB" w:rsidRPr="004D03D7" w:rsidRDefault="003429AB" w:rsidP="00184C4D">
            <w:pPr>
              <w:rPr>
                <w:sz w:val="20"/>
                <w:szCs w:val="20"/>
              </w:rPr>
            </w:pPr>
            <w:r w:rsidRPr="004D03D7">
              <w:rPr>
                <w:rFonts w:hint="eastAsia"/>
                <w:sz w:val="20"/>
                <w:szCs w:val="20"/>
              </w:rPr>
              <w:t>読書・読書活動の表記</w:t>
            </w:r>
          </w:p>
        </w:tc>
        <w:tc>
          <w:tcPr>
            <w:tcW w:w="7616" w:type="dxa"/>
            <w:vAlign w:val="center"/>
            <w:hideMark/>
          </w:tcPr>
          <w:p w:rsidR="003429AB" w:rsidRPr="004D03D7" w:rsidRDefault="003429AB" w:rsidP="00184C4D">
            <w:pPr>
              <w:rPr>
                <w:sz w:val="20"/>
                <w:szCs w:val="20"/>
              </w:rPr>
            </w:pPr>
            <w:r w:rsidRPr="004D03D7">
              <w:rPr>
                <w:rFonts w:hint="eastAsia"/>
                <w:sz w:val="20"/>
                <w:szCs w:val="20"/>
              </w:rPr>
              <w:t>「読書」、「読書活動」の書分けができていない</w:t>
            </w:r>
          </w:p>
        </w:tc>
      </w:tr>
      <w:tr w:rsidR="00F55987" w:rsidRPr="00973480" w:rsidTr="00184C4D">
        <w:trPr>
          <w:cantSplit/>
          <w:trHeight w:val="340"/>
        </w:trPr>
        <w:tc>
          <w:tcPr>
            <w:tcW w:w="513" w:type="dxa"/>
            <w:vMerge/>
            <w:noWrap/>
            <w:textDirection w:val="tbRlV"/>
          </w:tcPr>
          <w:p w:rsidR="003429AB" w:rsidRPr="004D03D7" w:rsidRDefault="003429AB" w:rsidP="00F55987">
            <w:pPr>
              <w:ind w:left="113" w:right="113"/>
              <w:rPr>
                <w:sz w:val="20"/>
                <w:szCs w:val="20"/>
              </w:rPr>
            </w:pPr>
          </w:p>
        </w:tc>
        <w:tc>
          <w:tcPr>
            <w:tcW w:w="2395" w:type="dxa"/>
            <w:noWrap/>
            <w:vAlign w:val="center"/>
            <w:hideMark/>
          </w:tcPr>
          <w:p w:rsidR="003429AB" w:rsidRPr="004D03D7" w:rsidRDefault="003429AB" w:rsidP="00184C4D">
            <w:pPr>
              <w:rPr>
                <w:sz w:val="20"/>
                <w:szCs w:val="20"/>
              </w:rPr>
            </w:pPr>
            <w:r w:rsidRPr="004D03D7">
              <w:rPr>
                <w:rFonts w:hint="eastAsia"/>
                <w:sz w:val="20"/>
                <w:szCs w:val="20"/>
              </w:rPr>
              <w:t>電子媒体・書籍の表記</w:t>
            </w:r>
          </w:p>
        </w:tc>
        <w:tc>
          <w:tcPr>
            <w:tcW w:w="7616" w:type="dxa"/>
            <w:vAlign w:val="center"/>
            <w:hideMark/>
          </w:tcPr>
          <w:p w:rsidR="003429AB" w:rsidRPr="004D03D7" w:rsidRDefault="003429AB" w:rsidP="00184C4D">
            <w:pPr>
              <w:rPr>
                <w:sz w:val="20"/>
                <w:szCs w:val="20"/>
              </w:rPr>
            </w:pPr>
            <w:r w:rsidRPr="004D03D7">
              <w:rPr>
                <w:rFonts w:hint="eastAsia"/>
                <w:sz w:val="20"/>
                <w:szCs w:val="20"/>
              </w:rPr>
              <w:t>「電子媒体」、「電子書籍」の表記が混在</w:t>
            </w:r>
          </w:p>
        </w:tc>
      </w:tr>
      <w:tr w:rsidR="00F55987" w:rsidRPr="00973480" w:rsidTr="00184C4D">
        <w:trPr>
          <w:cantSplit/>
          <w:trHeight w:val="340"/>
        </w:trPr>
        <w:tc>
          <w:tcPr>
            <w:tcW w:w="513" w:type="dxa"/>
            <w:vMerge/>
            <w:noWrap/>
            <w:textDirection w:val="tbRlV"/>
          </w:tcPr>
          <w:p w:rsidR="003429AB" w:rsidRPr="004D03D7" w:rsidRDefault="003429AB" w:rsidP="00F55987">
            <w:pPr>
              <w:ind w:left="113" w:right="113"/>
              <w:rPr>
                <w:sz w:val="20"/>
                <w:szCs w:val="20"/>
              </w:rPr>
            </w:pPr>
          </w:p>
        </w:tc>
        <w:tc>
          <w:tcPr>
            <w:tcW w:w="2395" w:type="dxa"/>
            <w:noWrap/>
            <w:vAlign w:val="center"/>
            <w:hideMark/>
          </w:tcPr>
          <w:p w:rsidR="003429AB" w:rsidRPr="004D03D7" w:rsidRDefault="003429AB" w:rsidP="00184C4D">
            <w:pPr>
              <w:rPr>
                <w:sz w:val="20"/>
                <w:szCs w:val="20"/>
              </w:rPr>
            </w:pPr>
            <w:r w:rsidRPr="004D03D7">
              <w:rPr>
                <w:rFonts w:hint="eastAsia"/>
                <w:sz w:val="20"/>
                <w:szCs w:val="20"/>
              </w:rPr>
              <w:t>不読率の定義</w:t>
            </w:r>
          </w:p>
        </w:tc>
        <w:tc>
          <w:tcPr>
            <w:tcW w:w="7616" w:type="dxa"/>
            <w:vAlign w:val="center"/>
            <w:hideMark/>
          </w:tcPr>
          <w:p w:rsidR="003429AB" w:rsidRPr="004D03D7" w:rsidRDefault="003429AB" w:rsidP="00184C4D">
            <w:pPr>
              <w:rPr>
                <w:sz w:val="20"/>
                <w:szCs w:val="20"/>
              </w:rPr>
            </w:pPr>
            <w:r w:rsidRPr="004D03D7">
              <w:rPr>
                <w:rFonts w:hint="eastAsia"/>
                <w:sz w:val="20"/>
                <w:szCs w:val="20"/>
              </w:rPr>
              <w:t>「不読率」の定義が</w:t>
            </w:r>
            <w:r w:rsidRPr="004D03D7">
              <w:rPr>
                <w:rFonts w:hint="eastAsia"/>
                <w:sz w:val="20"/>
                <w:szCs w:val="20"/>
              </w:rPr>
              <w:t>2</w:t>
            </w:r>
            <w:r w:rsidRPr="004D03D7">
              <w:rPr>
                <w:rFonts w:hint="eastAsia"/>
                <w:sz w:val="20"/>
                <w:szCs w:val="20"/>
              </w:rPr>
              <w:t>つの調査から出典されており、混在している</w:t>
            </w:r>
          </w:p>
        </w:tc>
      </w:tr>
      <w:tr w:rsidR="00F55987" w:rsidRPr="00973480" w:rsidTr="00184C4D">
        <w:trPr>
          <w:cantSplit/>
          <w:trHeight w:val="340"/>
        </w:trPr>
        <w:tc>
          <w:tcPr>
            <w:tcW w:w="513" w:type="dxa"/>
            <w:vMerge/>
            <w:noWrap/>
            <w:textDirection w:val="tbRlV"/>
          </w:tcPr>
          <w:p w:rsidR="003429AB" w:rsidRPr="004D03D7" w:rsidRDefault="003429AB" w:rsidP="00F55987">
            <w:pPr>
              <w:ind w:left="113" w:right="113"/>
              <w:rPr>
                <w:sz w:val="20"/>
                <w:szCs w:val="20"/>
              </w:rPr>
            </w:pPr>
          </w:p>
        </w:tc>
        <w:tc>
          <w:tcPr>
            <w:tcW w:w="2395" w:type="dxa"/>
            <w:noWrap/>
            <w:vAlign w:val="center"/>
            <w:hideMark/>
          </w:tcPr>
          <w:p w:rsidR="003429AB" w:rsidRPr="004D03D7" w:rsidRDefault="003429AB" w:rsidP="00184C4D">
            <w:pPr>
              <w:rPr>
                <w:sz w:val="20"/>
                <w:szCs w:val="20"/>
              </w:rPr>
            </w:pPr>
            <w:r w:rsidRPr="004D03D7">
              <w:rPr>
                <w:rFonts w:hint="eastAsia"/>
                <w:sz w:val="20"/>
                <w:szCs w:val="20"/>
              </w:rPr>
              <w:t>学習と読書の関係</w:t>
            </w:r>
          </w:p>
        </w:tc>
        <w:tc>
          <w:tcPr>
            <w:tcW w:w="7616" w:type="dxa"/>
            <w:vAlign w:val="center"/>
            <w:hideMark/>
          </w:tcPr>
          <w:p w:rsidR="003429AB" w:rsidRPr="004D03D7" w:rsidRDefault="003429AB" w:rsidP="00184C4D">
            <w:pPr>
              <w:rPr>
                <w:sz w:val="20"/>
                <w:szCs w:val="20"/>
              </w:rPr>
            </w:pPr>
            <w:r w:rsidRPr="004D03D7">
              <w:rPr>
                <w:rFonts w:hint="eastAsia"/>
                <w:sz w:val="20"/>
                <w:szCs w:val="20"/>
              </w:rPr>
              <w:t>学習活動に活かすため「学ぶ」のキーワードを取りいれることにより教委として取り組みやすくなる</w:t>
            </w:r>
          </w:p>
        </w:tc>
      </w:tr>
      <w:tr w:rsidR="00F55987" w:rsidRPr="00973480" w:rsidTr="00184C4D">
        <w:trPr>
          <w:cantSplit/>
          <w:trHeight w:val="340"/>
        </w:trPr>
        <w:tc>
          <w:tcPr>
            <w:tcW w:w="513" w:type="dxa"/>
            <w:vMerge/>
            <w:noWrap/>
            <w:textDirection w:val="tbRlV"/>
          </w:tcPr>
          <w:p w:rsidR="003429AB" w:rsidRPr="004D03D7" w:rsidRDefault="003429AB" w:rsidP="00F55987">
            <w:pPr>
              <w:ind w:left="113" w:right="113"/>
              <w:rPr>
                <w:sz w:val="20"/>
                <w:szCs w:val="20"/>
              </w:rPr>
            </w:pPr>
          </w:p>
        </w:tc>
        <w:tc>
          <w:tcPr>
            <w:tcW w:w="2395" w:type="dxa"/>
            <w:vMerge w:val="restart"/>
            <w:noWrap/>
            <w:vAlign w:val="center"/>
            <w:hideMark/>
          </w:tcPr>
          <w:p w:rsidR="003429AB" w:rsidRPr="004D03D7" w:rsidRDefault="003429AB" w:rsidP="00184C4D">
            <w:pPr>
              <w:rPr>
                <w:sz w:val="20"/>
                <w:szCs w:val="20"/>
              </w:rPr>
            </w:pPr>
            <w:r w:rsidRPr="004D03D7">
              <w:rPr>
                <w:rFonts w:hint="eastAsia"/>
                <w:sz w:val="20"/>
                <w:szCs w:val="20"/>
              </w:rPr>
              <w:t>ボランティアとの連携</w:t>
            </w:r>
          </w:p>
        </w:tc>
        <w:tc>
          <w:tcPr>
            <w:tcW w:w="7616" w:type="dxa"/>
            <w:vAlign w:val="center"/>
            <w:hideMark/>
          </w:tcPr>
          <w:p w:rsidR="003429AB" w:rsidRPr="004D03D7" w:rsidRDefault="003429AB" w:rsidP="00184C4D">
            <w:pPr>
              <w:rPr>
                <w:sz w:val="20"/>
                <w:szCs w:val="20"/>
              </w:rPr>
            </w:pPr>
            <w:r w:rsidRPr="004D03D7">
              <w:rPr>
                <w:rFonts w:hint="eastAsia"/>
                <w:sz w:val="20"/>
                <w:szCs w:val="20"/>
              </w:rPr>
              <w:t>ボランティアに関する標記「活用」等、上からの視点の書きぶり</w:t>
            </w:r>
          </w:p>
        </w:tc>
      </w:tr>
      <w:tr w:rsidR="00F55987" w:rsidRPr="00973480" w:rsidTr="00184C4D">
        <w:trPr>
          <w:cantSplit/>
          <w:trHeight w:val="340"/>
        </w:trPr>
        <w:tc>
          <w:tcPr>
            <w:tcW w:w="513" w:type="dxa"/>
            <w:vMerge/>
            <w:noWrap/>
          </w:tcPr>
          <w:p w:rsidR="003429AB" w:rsidRPr="004D03D7" w:rsidRDefault="003429AB" w:rsidP="00F55987">
            <w:pPr>
              <w:rPr>
                <w:sz w:val="20"/>
                <w:szCs w:val="20"/>
              </w:rPr>
            </w:pPr>
          </w:p>
        </w:tc>
        <w:tc>
          <w:tcPr>
            <w:tcW w:w="2395" w:type="dxa"/>
            <w:vMerge/>
            <w:noWrap/>
            <w:vAlign w:val="center"/>
            <w:hideMark/>
          </w:tcPr>
          <w:p w:rsidR="003429AB" w:rsidRPr="004D03D7" w:rsidRDefault="003429AB" w:rsidP="00184C4D">
            <w:pPr>
              <w:rPr>
                <w:sz w:val="20"/>
                <w:szCs w:val="20"/>
              </w:rPr>
            </w:pPr>
          </w:p>
        </w:tc>
        <w:tc>
          <w:tcPr>
            <w:tcW w:w="7616" w:type="dxa"/>
            <w:vAlign w:val="center"/>
            <w:hideMark/>
          </w:tcPr>
          <w:p w:rsidR="003429AB" w:rsidRPr="004D03D7" w:rsidRDefault="003429AB" w:rsidP="00184C4D">
            <w:pPr>
              <w:rPr>
                <w:sz w:val="20"/>
                <w:szCs w:val="20"/>
              </w:rPr>
            </w:pPr>
            <w:r w:rsidRPr="004D03D7">
              <w:rPr>
                <w:rFonts w:hint="eastAsia"/>
                <w:sz w:val="20"/>
                <w:szCs w:val="20"/>
              </w:rPr>
              <w:t>ボランティアの活動範囲に配慮が必要</w:t>
            </w:r>
          </w:p>
        </w:tc>
      </w:tr>
      <w:tr w:rsidR="00F55987" w:rsidRPr="00973480" w:rsidTr="00184C4D">
        <w:trPr>
          <w:cantSplit/>
          <w:trHeight w:val="340"/>
        </w:trPr>
        <w:tc>
          <w:tcPr>
            <w:tcW w:w="513" w:type="dxa"/>
            <w:vMerge/>
            <w:noWrap/>
          </w:tcPr>
          <w:p w:rsidR="003429AB" w:rsidRPr="004D03D7" w:rsidRDefault="003429AB" w:rsidP="00F55987">
            <w:pPr>
              <w:rPr>
                <w:sz w:val="20"/>
                <w:szCs w:val="20"/>
              </w:rPr>
            </w:pPr>
          </w:p>
        </w:tc>
        <w:tc>
          <w:tcPr>
            <w:tcW w:w="2395" w:type="dxa"/>
            <w:vMerge/>
            <w:noWrap/>
            <w:vAlign w:val="center"/>
            <w:hideMark/>
          </w:tcPr>
          <w:p w:rsidR="003429AB" w:rsidRPr="004D03D7" w:rsidRDefault="003429AB" w:rsidP="00184C4D">
            <w:pPr>
              <w:rPr>
                <w:sz w:val="20"/>
                <w:szCs w:val="20"/>
              </w:rPr>
            </w:pPr>
          </w:p>
        </w:tc>
        <w:tc>
          <w:tcPr>
            <w:tcW w:w="7616" w:type="dxa"/>
            <w:vAlign w:val="center"/>
            <w:hideMark/>
          </w:tcPr>
          <w:p w:rsidR="003429AB" w:rsidRPr="004D03D7" w:rsidRDefault="003429AB" w:rsidP="00184C4D">
            <w:pPr>
              <w:rPr>
                <w:sz w:val="20"/>
                <w:szCs w:val="20"/>
              </w:rPr>
            </w:pPr>
            <w:r w:rsidRPr="004D03D7">
              <w:rPr>
                <w:rFonts w:hint="eastAsia"/>
                <w:sz w:val="20"/>
                <w:szCs w:val="20"/>
              </w:rPr>
              <w:t>ボランティアをどのように育てていこうとしているのかがわからない。特に支援が必要な子どものボランティアは不足している。</w:t>
            </w:r>
          </w:p>
        </w:tc>
      </w:tr>
      <w:tr w:rsidR="00F55987" w:rsidRPr="00973480" w:rsidTr="00184C4D">
        <w:trPr>
          <w:cantSplit/>
          <w:trHeight w:val="340"/>
        </w:trPr>
        <w:tc>
          <w:tcPr>
            <w:tcW w:w="513" w:type="dxa"/>
            <w:vMerge/>
            <w:noWrap/>
          </w:tcPr>
          <w:p w:rsidR="003429AB" w:rsidRPr="004D03D7" w:rsidRDefault="003429AB" w:rsidP="00F55987">
            <w:pPr>
              <w:rPr>
                <w:sz w:val="20"/>
                <w:szCs w:val="20"/>
              </w:rPr>
            </w:pPr>
          </w:p>
        </w:tc>
        <w:tc>
          <w:tcPr>
            <w:tcW w:w="2395" w:type="dxa"/>
            <w:vMerge/>
            <w:noWrap/>
            <w:vAlign w:val="center"/>
            <w:hideMark/>
          </w:tcPr>
          <w:p w:rsidR="003429AB" w:rsidRPr="004D03D7" w:rsidRDefault="003429AB" w:rsidP="00184C4D">
            <w:pPr>
              <w:rPr>
                <w:sz w:val="20"/>
                <w:szCs w:val="20"/>
              </w:rPr>
            </w:pPr>
          </w:p>
        </w:tc>
        <w:tc>
          <w:tcPr>
            <w:tcW w:w="7616" w:type="dxa"/>
            <w:vAlign w:val="center"/>
            <w:hideMark/>
          </w:tcPr>
          <w:p w:rsidR="003429AB" w:rsidRPr="004D03D7" w:rsidRDefault="003429AB" w:rsidP="00184C4D">
            <w:pPr>
              <w:rPr>
                <w:sz w:val="20"/>
                <w:szCs w:val="20"/>
              </w:rPr>
            </w:pPr>
            <w:r w:rsidRPr="004D03D7">
              <w:rPr>
                <w:rFonts w:hint="eastAsia"/>
                <w:sz w:val="20"/>
                <w:szCs w:val="20"/>
              </w:rPr>
              <w:t>ボランティアの実情の把握、研修、支援についての考え方を示すべき</w:t>
            </w:r>
          </w:p>
        </w:tc>
      </w:tr>
      <w:tr w:rsidR="00F55987" w:rsidRPr="00973480" w:rsidTr="00184C4D">
        <w:trPr>
          <w:cantSplit/>
          <w:trHeight w:val="340"/>
        </w:trPr>
        <w:tc>
          <w:tcPr>
            <w:tcW w:w="513" w:type="dxa"/>
            <w:vMerge/>
            <w:noWrap/>
          </w:tcPr>
          <w:p w:rsidR="003429AB" w:rsidRPr="004D03D7" w:rsidRDefault="003429AB" w:rsidP="00F55987">
            <w:pPr>
              <w:rPr>
                <w:sz w:val="20"/>
                <w:szCs w:val="20"/>
              </w:rPr>
            </w:pPr>
          </w:p>
        </w:tc>
        <w:tc>
          <w:tcPr>
            <w:tcW w:w="2395" w:type="dxa"/>
            <w:noWrap/>
            <w:vAlign w:val="center"/>
            <w:hideMark/>
          </w:tcPr>
          <w:p w:rsidR="003429AB" w:rsidRPr="004D03D7" w:rsidRDefault="003429AB" w:rsidP="00184C4D">
            <w:pPr>
              <w:rPr>
                <w:sz w:val="20"/>
                <w:szCs w:val="20"/>
              </w:rPr>
            </w:pPr>
            <w:r w:rsidRPr="004D03D7">
              <w:rPr>
                <w:rFonts w:hint="eastAsia"/>
                <w:sz w:val="20"/>
                <w:szCs w:val="20"/>
              </w:rPr>
              <w:t>重点取組</w:t>
            </w:r>
          </w:p>
        </w:tc>
        <w:tc>
          <w:tcPr>
            <w:tcW w:w="7616" w:type="dxa"/>
            <w:vAlign w:val="center"/>
            <w:hideMark/>
          </w:tcPr>
          <w:p w:rsidR="003429AB" w:rsidRPr="004D03D7" w:rsidRDefault="003429AB" w:rsidP="00184C4D">
            <w:pPr>
              <w:rPr>
                <w:sz w:val="20"/>
                <w:szCs w:val="20"/>
              </w:rPr>
            </w:pPr>
            <w:r w:rsidRPr="004D03D7">
              <w:rPr>
                <w:rFonts w:hint="eastAsia"/>
                <w:sz w:val="20"/>
                <w:szCs w:val="20"/>
              </w:rPr>
              <w:t>府の取組みを重点取組との関係性もたせてわかりやすく</w:t>
            </w:r>
          </w:p>
        </w:tc>
      </w:tr>
      <w:tr w:rsidR="00F55987" w:rsidRPr="00973480" w:rsidTr="00184C4D">
        <w:trPr>
          <w:cantSplit/>
          <w:trHeight w:val="340"/>
        </w:trPr>
        <w:tc>
          <w:tcPr>
            <w:tcW w:w="513" w:type="dxa"/>
            <w:vMerge/>
            <w:noWrap/>
          </w:tcPr>
          <w:p w:rsidR="003429AB" w:rsidRPr="004D03D7" w:rsidRDefault="003429AB" w:rsidP="00F55987">
            <w:pPr>
              <w:rPr>
                <w:sz w:val="20"/>
                <w:szCs w:val="20"/>
              </w:rPr>
            </w:pPr>
          </w:p>
        </w:tc>
        <w:tc>
          <w:tcPr>
            <w:tcW w:w="2395" w:type="dxa"/>
            <w:noWrap/>
            <w:vAlign w:val="center"/>
          </w:tcPr>
          <w:p w:rsidR="003429AB" w:rsidRPr="004D03D7" w:rsidRDefault="003429AB" w:rsidP="00184C4D">
            <w:pPr>
              <w:rPr>
                <w:sz w:val="20"/>
                <w:szCs w:val="20"/>
              </w:rPr>
            </w:pPr>
            <w:r w:rsidRPr="004D03D7">
              <w:rPr>
                <w:rFonts w:hint="eastAsia"/>
                <w:sz w:val="20"/>
                <w:szCs w:val="20"/>
              </w:rPr>
              <w:t>学校との連携</w:t>
            </w:r>
          </w:p>
        </w:tc>
        <w:tc>
          <w:tcPr>
            <w:tcW w:w="7616" w:type="dxa"/>
            <w:vAlign w:val="center"/>
          </w:tcPr>
          <w:p w:rsidR="003429AB" w:rsidRPr="004D03D7" w:rsidRDefault="003429AB" w:rsidP="00184C4D">
            <w:pPr>
              <w:rPr>
                <w:sz w:val="20"/>
                <w:szCs w:val="20"/>
              </w:rPr>
            </w:pPr>
            <w:r w:rsidRPr="004D03D7">
              <w:rPr>
                <w:rFonts w:hint="eastAsia"/>
                <w:sz w:val="20"/>
                <w:szCs w:val="20"/>
              </w:rPr>
              <w:t>担任教師へのアンケート等を活用した現状把握が必要</w:t>
            </w:r>
          </w:p>
        </w:tc>
      </w:tr>
    </w:tbl>
    <w:p w:rsidR="005E4ABD" w:rsidRPr="00741C79" w:rsidRDefault="005E4ABD" w:rsidP="00184C4D">
      <w:pPr>
        <w:ind w:left="1122" w:hanging="1122"/>
        <w:rPr>
          <w:rFonts w:asciiTheme="minorEastAsia" w:hAnsiTheme="minorEastAsia"/>
          <w:szCs w:val="21"/>
        </w:rPr>
      </w:pPr>
    </w:p>
    <w:sectPr w:rsidR="005E4ABD" w:rsidRPr="00741C79" w:rsidSect="00184C4D">
      <w:pgSz w:w="11906" w:h="16838" w:code="9"/>
      <w:pgMar w:top="1134" w:right="567" w:bottom="567" w:left="567" w:header="851" w:footer="992" w:gutter="0"/>
      <w:cols w:space="425"/>
      <w:docGrid w:type="linesAndChars" w:linePitch="291" w:charSpace="2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8A" w:rsidRDefault="000C478A" w:rsidP="000C478A">
      <w:r>
        <w:separator/>
      </w:r>
    </w:p>
  </w:endnote>
  <w:endnote w:type="continuationSeparator" w:id="0">
    <w:p w:rsidR="000C478A" w:rsidRDefault="000C478A" w:rsidP="000C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8A" w:rsidRDefault="000C478A" w:rsidP="000C478A">
      <w:r>
        <w:separator/>
      </w:r>
    </w:p>
  </w:footnote>
  <w:footnote w:type="continuationSeparator" w:id="0">
    <w:p w:rsidR="000C478A" w:rsidRDefault="000C478A" w:rsidP="000C4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A0"/>
    <w:rsid w:val="00081F9A"/>
    <w:rsid w:val="00095714"/>
    <w:rsid w:val="000C478A"/>
    <w:rsid w:val="000D565B"/>
    <w:rsid w:val="000E760C"/>
    <w:rsid w:val="00113B83"/>
    <w:rsid w:val="00127494"/>
    <w:rsid w:val="00157B38"/>
    <w:rsid w:val="00183A4D"/>
    <w:rsid w:val="00184C4D"/>
    <w:rsid w:val="001B5514"/>
    <w:rsid w:val="001C76E1"/>
    <w:rsid w:val="00203B06"/>
    <w:rsid w:val="00256166"/>
    <w:rsid w:val="00260938"/>
    <w:rsid w:val="002926BC"/>
    <w:rsid w:val="002943DF"/>
    <w:rsid w:val="002C6068"/>
    <w:rsid w:val="002C78CB"/>
    <w:rsid w:val="0034210F"/>
    <w:rsid w:val="003429AB"/>
    <w:rsid w:val="00372846"/>
    <w:rsid w:val="003C0A2A"/>
    <w:rsid w:val="003D7067"/>
    <w:rsid w:val="003F15DB"/>
    <w:rsid w:val="00400323"/>
    <w:rsid w:val="0042550E"/>
    <w:rsid w:val="00456A23"/>
    <w:rsid w:val="00524C47"/>
    <w:rsid w:val="00530DCB"/>
    <w:rsid w:val="00591459"/>
    <w:rsid w:val="005B0D1A"/>
    <w:rsid w:val="005E4ABD"/>
    <w:rsid w:val="005F76BD"/>
    <w:rsid w:val="006109B2"/>
    <w:rsid w:val="00655BFA"/>
    <w:rsid w:val="00665C1E"/>
    <w:rsid w:val="00671186"/>
    <w:rsid w:val="006C29FE"/>
    <w:rsid w:val="006E29A0"/>
    <w:rsid w:val="006F1602"/>
    <w:rsid w:val="00741C79"/>
    <w:rsid w:val="00765A67"/>
    <w:rsid w:val="00863156"/>
    <w:rsid w:val="00872D44"/>
    <w:rsid w:val="00883EAE"/>
    <w:rsid w:val="00886631"/>
    <w:rsid w:val="008879D1"/>
    <w:rsid w:val="008947B9"/>
    <w:rsid w:val="008B73F0"/>
    <w:rsid w:val="008C2020"/>
    <w:rsid w:val="008C579F"/>
    <w:rsid w:val="00940AC8"/>
    <w:rsid w:val="00943A18"/>
    <w:rsid w:val="00973480"/>
    <w:rsid w:val="009A2A42"/>
    <w:rsid w:val="009B6BDC"/>
    <w:rsid w:val="00A47359"/>
    <w:rsid w:val="00A67AED"/>
    <w:rsid w:val="00A76022"/>
    <w:rsid w:val="00AE5A3B"/>
    <w:rsid w:val="00AF6C79"/>
    <w:rsid w:val="00B2722A"/>
    <w:rsid w:val="00B404B7"/>
    <w:rsid w:val="00B60C1D"/>
    <w:rsid w:val="00B83A9B"/>
    <w:rsid w:val="00BD31D8"/>
    <w:rsid w:val="00BF5571"/>
    <w:rsid w:val="00C019AB"/>
    <w:rsid w:val="00C37A45"/>
    <w:rsid w:val="00C46A52"/>
    <w:rsid w:val="00C86236"/>
    <w:rsid w:val="00D96296"/>
    <w:rsid w:val="00E1197C"/>
    <w:rsid w:val="00E73DB5"/>
    <w:rsid w:val="00EB3F98"/>
    <w:rsid w:val="00EF6FC4"/>
    <w:rsid w:val="00F021FA"/>
    <w:rsid w:val="00F55987"/>
    <w:rsid w:val="00F84D2E"/>
    <w:rsid w:val="00F9343A"/>
    <w:rsid w:val="00F94522"/>
    <w:rsid w:val="00F95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F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FC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F6FC4"/>
    <w:rPr>
      <w:sz w:val="18"/>
      <w:szCs w:val="18"/>
    </w:rPr>
  </w:style>
  <w:style w:type="paragraph" w:styleId="a6">
    <w:name w:val="annotation text"/>
    <w:basedOn w:val="a"/>
    <w:link w:val="a7"/>
    <w:uiPriority w:val="99"/>
    <w:semiHidden/>
    <w:unhideWhenUsed/>
    <w:rsid w:val="00EF6FC4"/>
    <w:pPr>
      <w:jc w:val="left"/>
    </w:pPr>
  </w:style>
  <w:style w:type="character" w:customStyle="1" w:styleId="a7">
    <w:name w:val="コメント文字列 (文字)"/>
    <w:basedOn w:val="a0"/>
    <w:link w:val="a6"/>
    <w:uiPriority w:val="99"/>
    <w:semiHidden/>
    <w:rsid w:val="00EF6FC4"/>
  </w:style>
  <w:style w:type="paragraph" w:styleId="a8">
    <w:name w:val="annotation subject"/>
    <w:basedOn w:val="a6"/>
    <w:next w:val="a6"/>
    <w:link w:val="a9"/>
    <w:uiPriority w:val="99"/>
    <w:semiHidden/>
    <w:unhideWhenUsed/>
    <w:rsid w:val="00EF6FC4"/>
    <w:rPr>
      <w:b/>
      <w:bCs/>
    </w:rPr>
  </w:style>
  <w:style w:type="character" w:customStyle="1" w:styleId="a9">
    <w:name w:val="コメント内容 (文字)"/>
    <w:basedOn w:val="a7"/>
    <w:link w:val="a8"/>
    <w:uiPriority w:val="99"/>
    <w:semiHidden/>
    <w:rsid w:val="00EF6FC4"/>
    <w:rPr>
      <w:b/>
      <w:bCs/>
    </w:rPr>
  </w:style>
  <w:style w:type="paragraph" w:styleId="aa">
    <w:name w:val="header"/>
    <w:basedOn w:val="a"/>
    <w:link w:val="ab"/>
    <w:uiPriority w:val="99"/>
    <w:unhideWhenUsed/>
    <w:rsid w:val="000C478A"/>
    <w:pPr>
      <w:tabs>
        <w:tab w:val="center" w:pos="4252"/>
        <w:tab w:val="right" w:pos="8504"/>
      </w:tabs>
      <w:snapToGrid w:val="0"/>
    </w:pPr>
  </w:style>
  <w:style w:type="character" w:customStyle="1" w:styleId="ab">
    <w:name w:val="ヘッダー (文字)"/>
    <w:basedOn w:val="a0"/>
    <w:link w:val="aa"/>
    <w:uiPriority w:val="99"/>
    <w:rsid w:val="000C478A"/>
  </w:style>
  <w:style w:type="paragraph" w:styleId="ac">
    <w:name w:val="footer"/>
    <w:basedOn w:val="a"/>
    <w:link w:val="ad"/>
    <w:uiPriority w:val="99"/>
    <w:unhideWhenUsed/>
    <w:rsid w:val="000C478A"/>
    <w:pPr>
      <w:tabs>
        <w:tab w:val="center" w:pos="4252"/>
        <w:tab w:val="right" w:pos="8504"/>
      </w:tabs>
      <w:snapToGrid w:val="0"/>
    </w:pPr>
  </w:style>
  <w:style w:type="character" w:customStyle="1" w:styleId="ad">
    <w:name w:val="フッター (文字)"/>
    <w:basedOn w:val="a0"/>
    <w:link w:val="ac"/>
    <w:uiPriority w:val="99"/>
    <w:rsid w:val="000C478A"/>
  </w:style>
  <w:style w:type="table" w:styleId="ae">
    <w:name w:val="Table Grid"/>
    <w:basedOn w:val="a1"/>
    <w:uiPriority w:val="59"/>
    <w:rsid w:val="0097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F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FC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F6FC4"/>
    <w:rPr>
      <w:sz w:val="18"/>
      <w:szCs w:val="18"/>
    </w:rPr>
  </w:style>
  <w:style w:type="paragraph" w:styleId="a6">
    <w:name w:val="annotation text"/>
    <w:basedOn w:val="a"/>
    <w:link w:val="a7"/>
    <w:uiPriority w:val="99"/>
    <w:semiHidden/>
    <w:unhideWhenUsed/>
    <w:rsid w:val="00EF6FC4"/>
    <w:pPr>
      <w:jc w:val="left"/>
    </w:pPr>
  </w:style>
  <w:style w:type="character" w:customStyle="1" w:styleId="a7">
    <w:name w:val="コメント文字列 (文字)"/>
    <w:basedOn w:val="a0"/>
    <w:link w:val="a6"/>
    <w:uiPriority w:val="99"/>
    <w:semiHidden/>
    <w:rsid w:val="00EF6FC4"/>
  </w:style>
  <w:style w:type="paragraph" w:styleId="a8">
    <w:name w:val="annotation subject"/>
    <w:basedOn w:val="a6"/>
    <w:next w:val="a6"/>
    <w:link w:val="a9"/>
    <w:uiPriority w:val="99"/>
    <w:semiHidden/>
    <w:unhideWhenUsed/>
    <w:rsid w:val="00EF6FC4"/>
    <w:rPr>
      <w:b/>
      <w:bCs/>
    </w:rPr>
  </w:style>
  <w:style w:type="character" w:customStyle="1" w:styleId="a9">
    <w:name w:val="コメント内容 (文字)"/>
    <w:basedOn w:val="a7"/>
    <w:link w:val="a8"/>
    <w:uiPriority w:val="99"/>
    <w:semiHidden/>
    <w:rsid w:val="00EF6FC4"/>
    <w:rPr>
      <w:b/>
      <w:bCs/>
    </w:rPr>
  </w:style>
  <w:style w:type="paragraph" w:styleId="aa">
    <w:name w:val="header"/>
    <w:basedOn w:val="a"/>
    <w:link w:val="ab"/>
    <w:uiPriority w:val="99"/>
    <w:unhideWhenUsed/>
    <w:rsid w:val="000C478A"/>
    <w:pPr>
      <w:tabs>
        <w:tab w:val="center" w:pos="4252"/>
        <w:tab w:val="right" w:pos="8504"/>
      </w:tabs>
      <w:snapToGrid w:val="0"/>
    </w:pPr>
  </w:style>
  <w:style w:type="character" w:customStyle="1" w:styleId="ab">
    <w:name w:val="ヘッダー (文字)"/>
    <w:basedOn w:val="a0"/>
    <w:link w:val="aa"/>
    <w:uiPriority w:val="99"/>
    <w:rsid w:val="000C478A"/>
  </w:style>
  <w:style w:type="paragraph" w:styleId="ac">
    <w:name w:val="footer"/>
    <w:basedOn w:val="a"/>
    <w:link w:val="ad"/>
    <w:uiPriority w:val="99"/>
    <w:unhideWhenUsed/>
    <w:rsid w:val="000C478A"/>
    <w:pPr>
      <w:tabs>
        <w:tab w:val="center" w:pos="4252"/>
        <w:tab w:val="right" w:pos="8504"/>
      </w:tabs>
      <w:snapToGrid w:val="0"/>
    </w:pPr>
  </w:style>
  <w:style w:type="character" w:customStyle="1" w:styleId="ad">
    <w:name w:val="フッター (文字)"/>
    <w:basedOn w:val="a0"/>
    <w:link w:val="ac"/>
    <w:uiPriority w:val="99"/>
    <w:rsid w:val="000C478A"/>
  </w:style>
  <w:style w:type="table" w:styleId="ae">
    <w:name w:val="Table Grid"/>
    <w:basedOn w:val="a1"/>
    <w:uiPriority w:val="59"/>
    <w:rsid w:val="0097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72074">
      <w:bodyDiv w:val="1"/>
      <w:marLeft w:val="0"/>
      <w:marRight w:val="0"/>
      <w:marTop w:val="0"/>
      <w:marBottom w:val="0"/>
      <w:divBdr>
        <w:top w:val="none" w:sz="0" w:space="0" w:color="auto"/>
        <w:left w:val="none" w:sz="0" w:space="0" w:color="auto"/>
        <w:bottom w:val="none" w:sz="0" w:space="0" w:color="auto"/>
        <w:right w:val="none" w:sz="0" w:space="0" w:color="auto"/>
      </w:divBdr>
    </w:div>
    <w:div w:id="1645355366">
      <w:bodyDiv w:val="1"/>
      <w:marLeft w:val="0"/>
      <w:marRight w:val="0"/>
      <w:marTop w:val="0"/>
      <w:marBottom w:val="0"/>
      <w:divBdr>
        <w:top w:val="none" w:sz="0" w:space="0" w:color="auto"/>
        <w:left w:val="none" w:sz="0" w:space="0" w:color="auto"/>
        <w:bottom w:val="none" w:sz="0" w:space="0" w:color="auto"/>
        <w:right w:val="none" w:sz="0" w:space="0" w:color="auto"/>
      </w:divBdr>
    </w:div>
    <w:div w:id="18148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2</cp:revision>
  <cp:lastPrinted>2015-12-09T02:02:00Z</cp:lastPrinted>
  <dcterms:created xsi:type="dcterms:W3CDTF">2017-03-28T06:54:00Z</dcterms:created>
  <dcterms:modified xsi:type="dcterms:W3CDTF">2017-03-28T08:36:00Z</dcterms:modified>
</cp:coreProperties>
</file>