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B42C" w14:textId="1B681816" w:rsidR="008C0EAD" w:rsidRPr="001D6C1D" w:rsidRDefault="008C0EAD" w:rsidP="008C0EAD">
      <w:r w:rsidRPr="001D6C1D">
        <w:rPr>
          <w:rFonts w:hint="eastAsia"/>
        </w:rPr>
        <w:t>大阪府</w:t>
      </w:r>
      <w:r>
        <w:rPr>
          <w:rFonts w:hint="eastAsia"/>
        </w:rPr>
        <w:t>障がい</w:t>
      </w:r>
      <w:r w:rsidRPr="001D6C1D">
        <w:rPr>
          <w:rFonts w:hint="eastAsia"/>
        </w:rPr>
        <w:t>を理由とする差別の解消の推進に関する条例</w:t>
      </w:r>
    </w:p>
    <w:p w14:paraId="31380661" w14:textId="77777777" w:rsidR="008C0EAD" w:rsidRDefault="008C0EAD" w:rsidP="008C0EAD">
      <w:r>
        <w:rPr>
          <w:rFonts w:hint="eastAsia"/>
        </w:rPr>
        <w:t>大阪府障がい者差別解消条例</w:t>
      </w:r>
    </w:p>
    <w:p w14:paraId="4D597D98" w14:textId="77777777" w:rsidR="008C0EAD" w:rsidRDefault="008C0EAD" w:rsidP="008C0EAD">
      <w:r w:rsidRPr="00910D46">
        <w:rPr>
          <w:rFonts w:hint="eastAsia"/>
        </w:rPr>
        <w:t>2016</w:t>
      </w:r>
      <w:r w:rsidRPr="00910D46">
        <w:rPr>
          <w:rFonts w:hint="eastAsia"/>
        </w:rPr>
        <w:t>年４月施行・</w:t>
      </w:r>
      <w:r w:rsidRPr="00910D46">
        <w:rPr>
          <w:rFonts w:hint="eastAsia"/>
        </w:rPr>
        <w:t>2021</w:t>
      </w:r>
      <w:r w:rsidRPr="00910D46">
        <w:rPr>
          <w:rFonts w:hint="eastAsia"/>
        </w:rPr>
        <w:t>年４月改正条例施行</w:t>
      </w:r>
    </w:p>
    <w:p w14:paraId="7D341F8F" w14:textId="77777777" w:rsidR="008C0EAD" w:rsidRDefault="008C0EAD" w:rsidP="008C0EAD">
      <w:r>
        <w:rPr>
          <w:rFonts w:hint="eastAsia"/>
        </w:rPr>
        <w:t>この条例は、障害者差別解消法ができたことを受けて、「障がいを理由とする差別のない、共に生きる大阪の社会」</w:t>
      </w:r>
      <w:r w:rsidRPr="001D6C1D">
        <w:rPr>
          <w:rFonts w:hint="eastAsia"/>
        </w:rPr>
        <w:t>をめざし、つくられました。</w:t>
      </w:r>
    </w:p>
    <w:p w14:paraId="53ABAE01" w14:textId="77777777" w:rsidR="008C0EAD" w:rsidRPr="001D6C1D" w:rsidRDefault="008C0EAD" w:rsidP="008C0EAD">
      <w:r>
        <w:rPr>
          <w:rFonts w:hint="eastAsia"/>
        </w:rPr>
        <w:t>障がい</w:t>
      </w:r>
      <w:r w:rsidRPr="001D6C1D">
        <w:rPr>
          <w:rFonts w:hint="eastAsia"/>
        </w:rPr>
        <w:t>を理由とする差別をなくすことは、すべての人にとって暮らしやすい社会につながります。</w:t>
      </w:r>
    </w:p>
    <w:p w14:paraId="7C3F3C58" w14:textId="77777777" w:rsidR="008C0EAD" w:rsidRDefault="008C0EAD" w:rsidP="008C0EAD">
      <w:r>
        <w:rPr>
          <w:rFonts w:hint="eastAsia"/>
        </w:rPr>
        <w:t>そのために大切なのは、「理解し合うこと」、「対話すること」、「考えること」</w:t>
      </w:r>
      <w:r w:rsidRPr="001D6C1D">
        <w:rPr>
          <w:rFonts w:hint="eastAsia"/>
        </w:rPr>
        <w:t>です。</w:t>
      </w:r>
    </w:p>
    <w:p w14:paraId="20FAEFF6" w14:textId="77777777" w:rsidR="008C0EAD" w:rsidRPr="001D6C1D" w:rsidRDefault="008C0EAD" w:rsidP="008C0EAD">
      <w:r>
        <w:rPr>
          <w:rFonts w:hint="eastAsia"/>
        </w:rPr>
        <w:t>大阪府</w:t>
      </w:r>
    </w:p>
    <w:p w14:paraId="7E4C776E" w14:textId="04ACB983" w:rsidR="004535DB" w:rsidRDefault="008C0EAD">
      <w:pPr>
        <w:widowControl/>
        <w:jc w:val="left"/>
      </w:pPr>
      <w:r>
        <w:rPr>
          <w:rFonts w:hint="eastAsia"/>
          <w:noProof/>
        </w:rPr>
        <w:drawing>
          <wp:anchor distT="0" distB="0" distL="114300" distR="114300" simplePos="0" relativeHeight="251661312" behindDoc="0" locked="0" layoutInCell="1" allowOverlap="1" wp14:anchorId="1A20BB64" wp14:editId="1D2F8E42">
            <wp:simplePos x="0" y="0"/>
            <wp:positionH relativeFrom="page">
              <wp:posOffset>6391275</wp:posOffset>
            </wp:positionH>
            <wp:positionV relativeFrom="page">
              <wp:posOffset>9372600</wp:posOffset>
            </wp:positionV>
            <wp:extent cx="648970" cy="648970"/>
            <wp:effectExtent l="0" t="0" r="0" b="0"/>
            <wp:wrapNone/>
            <wp:docPr id="4" name="JAVISCODE00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4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535DB">
        <w:br w:type="page"/>
      </w:r>
    </w:p>
    <w:p w14:paraId="03340BAE" w14:textId="3E40F631" w:rsidR="008C0EAD" w:rsidRDefault="008C0EAD" w:rsidP="008C0EAD">
      <w:r>
        <w:rPr>
          <w:rFonts w:hint="eastAsia"/>
        </w:rPr>
        <w:lastRenderedPageBreak/>
        <w:t>障害者差別解消法と大阪府障がい者差別解消条例の大事なポイント</w:t>
      </w:r>
    </w:p>
    <w:p w14:paraId="7EB0C948" w14:textId="77777777" w:rsidR="008C0EAD" w:rsidRDefault="008C0EAD" w:rsidP="008C0EAD">
      <w:r>
        <w:rPr>
          <w:rFonts w:hint="eastAsia"/>
        </w:rPr>
        <w:t>障害者差別解消法</w:t>
      </w:r>
    </w:p>
    <w:p w14:paraId="5F26BC67" w14:textId="77777777" w:rsidR="008C0EAD" w:rsidRDefault="008C0EAD" w:rsidP="008C0EAD">
      <w:r>
        <w:t>2016</w:t>
      </w:r>
      <w:r>
        <w:rPr>
          <w:rFonts w:hint="eastAsia"/>
        </w:rPr>
        <w:t>年４月施行・</w:t>
      </w:r>
      <w:r>
        <w:t>2024</w:t>
      </w:r>
      <w:r>
        <w:rPr>
          <w:rFonts w:hint="eastAsia"/>
        </w:rPr>
        <w:t>年４月改正法施行</w:t>
      </w:r>
    </w:p>
    <w:p w14:paraId="6C16A5E4" w14:textId="0057DA79" w:rsidR="008C0EAD" w:rsidRDefault="008C0EAD" w:rsidP="008C0EAD">
      <w:r>
        <w:rPr>
          <w:rFonts w:hint="eastAsia"/>
        </w:rPr>
        <w:t>この法律は、障がいを</w:t>
      </w:r>
      <w:r w:rsidR="00AE1E38">
        <w:rPr>
          <w:rFonts w:hint="eastAsia"/>
        </w:rPr>
        <w:t>理由</w:t>
      </w:r>
      <w:r>
        <w:rPr>
          <w:rFonts w:hint="eastAsia"/>
        </w:rPr>
        <w:t>とする差別をなくすことで、誰もが暮らしやすい共に生きる社会をつくることをめざしています。</w:t>
      </w:r>
    </w:p>
    <w:p w14:paraId="3BE6F9F0" w14:textId="77777777" w:rsidR="008C0EAD" w:rsidRDefault="008C0EAD" w:rsidP="008C0EAD">
      <w:r>
        <w:rPr>
          <w:rFonts w:hint="eastAsia"/>
        </w:rPr>
        <w:t>障がいを理由とする差別とは？</w:t>
      </w:r>
    </w:p>
    <w:p w14:paraId="270F4B6C" w14:textId="77777777" w:rsidR="008C0EAD" w:rsidRDefault="008C0EAD" w:rsidP="008C0EAD">
      <w:r>
        <w:rPr>
          <w:rFonts w:hint="eastAsia"/>
        </w:rPr>
        <w:t>「不当な差別的取扱い」と「合理的配慮の不提供（合理的配慮をしないこと）」が、差別になります。</w:t>
      </w:r>
    </w:p>
    <w:p w14:paraId="10CD42E8" w14:textId="77777777" w:rsidR="008C0EAD" w:rsidRDefault="008C0EAD" w:rsidP="008C0EAD">
      <w:r>
        <w:rPr>
          <w:rFonts w:hint="eastAsia"/>
        </w:rPr>
        <w:t>不当な差別的取扱い</w:t>
      </w:r>
    </w:p>
    <w:p w14:paraId="2D8C7B80" w14:textId="4301562E" w:rsidR="008C0EAD" w:rsidRDefault="008C0EAD" w:rsidP="008C0EAD">
      <w:r>
        <w:rPr>
          <w:rFonts w:hint="eastAsia"/>
        </w:rPr>
        <w:t>障がいを理由として、正</w:t>
      </w:r>
      <w:r w:rsidRPr="008C0EAD">
        <w:rPr>
          <w:rFonts w:hint="eastAsia"/>
        </w:rPr>
        <w:t>当な</w:t>
      </w:r>
      <w:r w:rsidR="00AE1E38">
        <w:rPr>
          <w:rFonts w:hint="eastAsia"/>
        </w:rPr>
        <w:t>理由</w:t>
      </w:r>
      <w:r w:rsidRPr="008C0EAD">
        <w:rPr>
          <w:rFonts w:hint="eastAsia"/>
        </w:rPr>
        <w:t>も</w:t>
      </w:r>
      <w:r>
        <w:rPr>
          <w:rFonts w:hint="eastAsia"/>
        </w:rPr>
        <w:t>なく、サービスの提供をしないことなどは「不当な差別的取扱い」になります。</w:t>
      </w:r>
    </w:p>
    <w:p w14:paraId="016AA057" w14:textId="3E910840" w:rsidR="008C0EAD" w:rsidRDefault="008C0EAD" w:rsidP="008C0EAD">
      <w:r>
        <w:rPr>
          <w:rFonts w:hint="eastAsia"/>
        </w:rPr>
        <w:t>例　お店に入ろうとしたら、車いすを利用していることを</w:t>
      </w:r>
      <w:r w:rsidR="00AE1E38">
        <w:rPr>
          <w:rFonts w:hint="eastAsia"/>
        </w:rPr>
        <w:t>理由</w:t>
      </w:r>
      <w:r>
        <w:rPr>
          <w:rFonts w:hint="eastAsia"/>
        </w:rPr>
        <w:t>に、断られた。</w:t>
      </w:r>
    </w:p>
    <w:p w14:paraId="7295DDFA" w14:textId="77777777" w:rsidR="008C0EAD" w:rsidRDefault="008C0EAD" w:rsidP="008C0EAD">
      <w:r>
        <w:rPr>
          <w:rFonts w:hint="eastAsia"/>
        </w:rPr>
        <w:t>合理的配慮の不提供</w:t>
      </w:r>
    </w:p>
    <w:p w14:paraId="7A71BEBF" w14:textId="77777777" w:rsidR="008C0EAD" w:rsidRDefault="008C0EAD" w:rsidP="008C0EAD">
      <w:r>
        <w:rPr>
          <w:rFonts w:hint="eastAsia"/>
        </w:rPr>
        <w:t>障がい者に合った必要な工夫などをすることが「合理的配慮」です。</w:t>
      </w:r>
    </w:p>
    <w:p w14:paraId="78AFA596" w14:textId="42675E0F" w:rsidR="008C0EAD" w:rsidRDefault="008C0EAD" w:rsidP="008C0EAD">
      <w:r>
        <w:rPr>
          <w:rFonts w:hint="eastAsia"/>
        </w:rPr>
        <w:t>重い負担がないのに、「合理的配慮をしないこと」は差別になります。</w:t>
      </w:r>
    </w:p>
    <w:p w14:paraId="0570639B" w14:textId="77777777" w:rsidR="008C0EAD" w:rsidRDefault="008C0EAD" w:rsidP="008C0EAD">
      <w:r>
        <w:rPr>
          <w:rFonts w:hint="eastAsia"/>
        </w:rPr>
        <w:t>例　視覚障がいがあることを伝えたのに、書類を渡すだけで読み上げない。</w:t>
      </w:r>
    </w:p>
    <w:p w14:paraId="43A9EB61" w14:textId="77777777" w:rsidR="008C0EAD" w:rsidRDefault="008C0EAD" w:rsidP="008C0EAD">
      <w:r>
        <w:rPr>
          <w:rFonts w:hint="eastAsia"/>
        </w:rPr>
        <w:t>行政機関　不当な差別的取扱いはしてはいけません　合理的配慮の提供はしなければいけません</w:t>
      </w:r>
    </w:p>
    <w:p w14:paraId="68B7B94F" w14:textId="716AEC96" w:rsidR="008C0EAD" w:rsidRDefault="008C0EAD" w:rsidP="008C0EAD">
      <w:r>
        <w:rPr>
          <w:rFonts w:hint="eastAsia"/>
        </w:rPr>
        <w:t>事業者　不当な差別的取扱いはしてはいけません　合理的配慮の提供はしなければいけません</w:t>
      </w:r>
    </w:p>
    <w:p w14:paraId="7F030239" w14:textId="12904C2E" w:rsidR="004535DB" w:rsidRDefault="008C0EAD">
      <w:pPr>
        <w:widowControl/>
        <w:jc w:val="left"/>
      </w:pPr>
      <w:r>
        <w:rPr>
          <w:noProof/>
        </w:rPr>
        <w:drawing>
          <wp:anchor distT="0" distB="0" distL="114300" distR="114300" simplePos="0" relativeHeight="251663360" behindDoc="0" locked="0" layoutInCell="1" allowOverlap="1" wp14:anchorId="29E156C2" wp14:editId="5715D846">
            <wp:simplePos x="0" y="0"/>
            <wp:positionH relativeFrom="margin">
              <wp:align>right</wp:align>
            </wp:positionH>
            <wp:positionV relativeFrom="paragraph">
              <wp:posOffset>4320540</wp:posOffset>
            </wp:positionV>
            <wp:extent cx="648970" cy="648970"/>
            <wp:effectExtent l="0" t="0" r="0" b="0"/>
            <wp:wrapNone/>
            <wp:docPr id="8" name="JAVISCODE001-401"/>
            <wp:cNvGraphicFramePr/>
            <a:graphic xmlns:a="http://schemas.openxmlformats.org/drawingml/2006/main">
              <a:graphicData uri="http://schemas.openxmlformats.org/drawingml/2006/picture">
                <pic:pic xmlns:pic="http://schemas.openxmlformats.org/drawingml/2006/picture">
                  <pic:nvPicPr>
                    <pic:cNvPr id="1" name="JAVISCODE001-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anchor>
        </w:drawing>
      </w:r>
      <w:r w:rsidR="004535DB">
        <w:br w:type="page"/>
      </w:r>
    </w:p>
    <w:p w14:paraId="67F82797" w14:textId="67E8DF58"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大阪府障がい者差別解消条例</w:t>
      </w:r>
    </w:p>
    <w:p w14:paraId="3613AC70"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この条例は、相談と解決の仕組みをはじめ差別をなくすために必要で大事なことを定めています。</w:t>
      </w:r>
    </w:p>
    <w:p w14:paraId="2BCB23B3"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障害者差別解消法と条例にもとづき、差別解消の取り組みを進めていきます。</w:t>
      </w:r>
    </w:p>
    <w:p w14:paraId="2B2549CB"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相談と解決の仕組み</w:t>
      </w:r>
    </w:p>
    <w:p w14:paraId="508CBA53" w14:textId="77777777" w:rsidR="008C0EAD" w:rsidRDefault="008C0EAD" w:rsidP="008C0EAD">
      <w:pPr>
        <w:pStyle w:val="a9"/>
        <w:ind w:leftChars="0" w:left="0"/>
        <w:jc w:val="left"/>
        <w:rPr>
          <w:rFonts w:asciiTheme="minorEastAsia" w:hAnsiTheme="minorEastAsia"/>
          <w:color w:val="000000" w:themeColor="text1"/>
          <w:szCs w:val="21"/>
        </w:rPr>
      </w:pPr>
      <w:r>
        <w:rPr>
          <w:rFonts w:asciiTheme="minorEastAsia" w:hAnsiTheme="minorEastAsia" w:hint="eastAsia"/>
          <w:color w:val="000000" w:themeColor="text1"/>
          <w:szCs w:val="21"/>
        </w:rPr>
        <w:t>『広域支援相談員』が、事業者における差別（不当な差別的取扱いと合理的配慮の不提供）について、市町村と協力しながら、主に話し合いを通じて、問題の解決を図ります。</w:t>
      </w:r>
    </w:p>
    <w:p w14:paraId="41D4EA3A"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大阪府障がい者差別解消協議会』が、広域支援相談員による解決が難しい場合、事業者における不当な差別的取扱いについて、あっせんを行います。また、事業者における差別について、広域支援相談員への助言を行います。</w:t>
      </w:r>
    </w:p>
    <w:p w14:paraId="202A9860"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質問１　誰が相談できますか。</w:t>
      </w:r>
    </w:p>
    <w:p w14:paraId="1D246488"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答え１　障がい者等（その家族や支援者を含む）や事業者からの相談に対応します。</w:t>
      </w:r>
    </w:p>
    <w:p w14:paraId="18317E17"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質問２　どこに相談すればよいですか。</w:t>
      </w:r>
    </w:p>
    <w:p w14:paraId="3DBEF32D" w14:textId="77777777"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答え２　まずは、身近な市町村の相談窓口に相談してください。広域支援相談員は、市町村と協力しながら、相談や解決の支援をします。直接、広域支援相談員に相談いただくこともできます。</w:t>
      </w:r>
    </w:p>
    <w:p w14:paraId="6183CF60" w14:textId="77777777" w:rsidR="008C0EAD" w:rsidRPr="008C0EAD" w:rsidRDefault="008C0EAD" w:rsidP="008C0EAD">
      <w:pPr>
        <w:jc w:val="left"/>
        <w:rPr>
          <w:rFonts w:asciiTheme="minorEastAsia" w:hAnsiTheme="minorEastAsia"/>
          <w:szCs w:val="21"/>
        </w:rPr>
      </w:pPr>
      <w:r>
        <w:rPr>
          <w:rFonts w:asciiTheme="minorEastAsia" w:hAnsiTheme="minorEastAsia" w:hint="eastAsia"/>
          <w:color w:val="000000" w:themeColor="text1"/>
          <w:szCs w:val="21"/>
        </w:rPr>
        <w:t>質問３　協議</w:t>
      </w:r>
      <w:r w:rsidRPr="008C0EAD">
        <w:rPr>
          <w:rFonts w:asciiTheme="minorEastAsia" w:hAnsiTheme="minorEastAsia" w:hint="eastAsia"/>
          <w:szCs w:val="21"/>
        </w:rPr>
        <w:t>会があっせんを行っても解決しない場合はどうするのですか。</w:t>
      </w:r>
    </w:p>
    <w:p w14:paraId="18B78166" w14:textId="6E8B02A9" w:rsidR="008C0EAD" w:rsidRPr="008C0EAD" w:rsidRDefault="008C0EAD" w:rsidP="008C0EAD">
      <w:pPr>
        <w:jc w:val="left"/>
        <w:rPr>
          <w:rFonts w:asciiTheme="minorEastAsia" w:hAnsiTheme="minorEastAsia"/>
          <w:szCs w:val="21"/>
        </w:rPr>
      </w:pPr>
      <w:r w:rsidRPr="008C0EAD">
        <w:rPr>
          <w:rFonts w:asciiTheme="minorEastAsia" w:hAnsiTheme="minorEastAsia" w:hint="eastAsia"/>
          <w:szCs w:val="21"/>
        </w:rPr>
        <w:t>答え３　正当な</w:t>
      </w:r>
      <w:r w:rsidR="00AE1E38">
        <w:rPr>
          <w:rFonts w:asciiTheme="minorEastAsia" w:hAnsiTheme="minorEastAsia" w:hint="eastAsia"/>
          <w:szCs w:val="21"/>
        </w:rPr>
        <w:t>理由</w:t>
      </w:r>
      <w:r w:rsidRPr="008C0EAD">
        <w:rPr>
          <w:rFonts w:asciiTheme="minorEastAsia" w:hAnsiTheme="minorEastAsia" w:hint="eastAsia"/>
          <w:szCs w:val="21"/>
        </w:rPr>
        <w:t>なく、あっせんに従わない場合、知事が勧告することができます。さらに、正当な</w:t>
      </w:r>
      <w:r w:rsidR="00AE1E38">
        <w:rPr>
          <w:rFonts w:asciiTheme="minorEastAsia" w:hAnsiTheme="minorEastAsia" w:hint="eastAsia"/>
          <w:szCs w:val="21"/>
        </w:rPr>
        <w:t>理由</w:t>
      </w:r>
      <w:r w:rsidRPr="008C0EAD">
        <w:rPr>
          <w:rFonts w:asciiTheme="minorEastAsia" w:hAnsiTheme="minorEastAsia" w:hint="eastAsia"/>
          <w:szCs w:val="21"/>
        </w:rPr>
        <w:t>なく、勧告に従わない場合、その事実を公表することができます。</w:t>
      </w:r>
    </w:p>
    <w:p w14:paraId="52EBF2A1" w14:textId="77777777" w:rsidR="008C0EAD" w:rsidRPr="008C0EAD" w:rsidRDefault="008C0EAD" w:rsidP="008C0EAD">
      <w:pPr>
        <w:jc w:val="left"/>
        <w:rPr>
          <w:rFonts w:asciiTheme="minorEastAsia" w:hAnsiTheme="minorEastAsia"/>
          <w:szCs w:val="21"/>
        </w:rPr>
      </w:pPr>
      <w:r w:rsidRPr="008C0EAD">
        <w:rPr>
          <w:rFonts w:asciiTheme="minorEastAsia" w:hAnsiTheme="minorEastAsia" w:hint="eastAsia"/>
          <w:szCs w:val="21"/>
        </w:rPr>
        <w:t>基本理念と啓発活動</w:t>
      </w:r>
    </w:p>
    <w:p w14:paraId="40C7FCC1" w14:textId="77777777" w:rsidR="008C0EAD" w:rsidRPr="008C0EAD" w:rsidRDefault="008C0EAD" w:rsidP="008C0EAD">
      <w:pPr>
        <w:jc w:val="left"/>
        <w:rPr>
          <w:rFonts w:asciiTheme="minorEastAsia" w:hAnsiTheme="minorEastAsia"/>
          <w:szCs w:val="21"/>
        </w:rPr>
      </w:pPr>
      <w:r w:rsidRPr="008C0EAD">
        <w:rPr>
          <w:rFonts w:asciiTheme="minorEastAsia" w:hAnsiTheme="minorEastAsia" w:hint="eastAsia"/>
          <w:szCs w:val="21"/>
        </w:rPr>
        <w:t>差別をなくすことは、社会全体で取り組む必要があります。</w:t>
      </w:r>
    </w:p>
    <w:p w14:paraId="53385207" w14:textId="77777777" w:rsidR="008C0EAD" w:rsidRDefault="008C0EAD" w:rsidP="008C0EAD">
      <w:pPr>
        <w:jc w:val="left"/>
        <w:rPr>
          <w:rFonts w:asciiTheme="minorEastAsia" w:hAnsiTheme="minorEastAsia"/>
          <w:color w:val="000000" w:themeColor="text1"/>
          <w:szCs w:val="21"/>
        </w:rPr>
      </w:pPr>
      <w:r w:rsidRPr="008C0EAD">
        <w:rPr>
          <w:rFonts w:asciiTheme="minorEastAsia" w:hAnsiTheme="minorEastAsia" w:hint="eastAsia"/>
          <w:szCs w:val="21"/>
        </w:rPr>
        <w:t>府民や事業者は、障がい理</w:t>
      </w:r>
      <w:r>
        <w:rPr>
          <w:rFonts w:asciiTheme="minorEastAsia" w:hAnsiTheme="minorEastAsia" w:hint="eastAsia"/>
          <w:color w:val="000000" w:themeColor="text1"/>
          <w:szCs w:val="21"/>
        </w:rPr>
        <w:t>解を深め、府の取り組みに協力することが求められます。</w:t>
      </w:r>
    </w:p>
    <w:p w14:paraId="32AFAF2F" w14:textId="56258C30" w:rsidR="008C0EAD" w:rsidRDefault="008C0EAD" w:rsidP="008C0EAD">
      <w:pPr>
        <w:jc w:val="left"/>
        <w:rPr>
          <w:rFonts w:asciiTheme="minorEastAsia" w:hAnsiTheme="minorEastAsia"/>
          <w:color w:val="000000" w:themeColor="text1"/>
          <w:szCs w:val="21"/>
        </w:rPr>
      </w:pPr>
      <w:r>
        <w:rPr>
          <w:rFonts w:asciiTheme="minorEastAsia" w:hAnsiTheme="minorEastAsia" w:hint="eastAsia"/>
          <w:color w:val="000000" w:themeColor="text1"/>
          <w:szCs w:val="21"/>
        </w:rPr>
        <w:t>障がい理解を深めるための啓発活動が、差別をなくすためのもっとも大切な取り組みです。</w:t>
      </w:r>
    </w:p>
    <w:p w14:paraId="3F01C977" w14:textId="1A2B3D84" w:rsidR="004535DB" w:rsidRDefault="008C0EAD">
      <w:pPr>
        <w:widowControl/>
        <w:jc w:val="left"/>
      </w:pPr>
      <w:r>
        <w:rPr>
          <w:noProof/>
        </w:rPr>
        <w:drawing>
          <wp:anchor distT="0" distB="0" distL="114300" distR="114300" simplePos="0" relativeHeight="251664384" behindDoc="0" locked="0" layoutInCell="1" allowOverlap="1" wp14:anchorId="6AF0200C" wp14:editId="6013FCC7">
            <wp:simplePos x="0" y="0"/>
            <wp:positionH relativeFrom="margin">
              <wp:align>right</wp:align>
            </wp:positionH>
            <wp:positionV relativeFrom="paragraph">
              <wp:posOffset>3329940</wp:posOffset>
            </wp:positionV>
            <wp:extent cx="716280" cy="716280"/>
            <wp:effectExtent l="0" t="0" r="7620" b="7620"/>
            <wp:wrapNone/>
            <wp:docPr id="10" name="JAVISCODE001-342"/>
            <wp:cNvGraphicFramePr/>
            <a:graphic xmlns:a="http://schemas.openxmlformats.org/drawingml/2006/main">
              <a:graphicData uri="http://schemas.openxmlformats.org/drawingml/2006/picture">
                <pic:pic xmlns:pic="http://schemas.openxmlformats.org/drawingml/2006/picture">
                  <pic:nvPicPr>
                    <pic:cNvPr id="1" name="JAVISCODE001-3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anchor>
        </w:drawing>
      </w:r>
      <w:r w:rsidR="004535DB">
        <w:br w:type="page"/>
      </w:r>
    </w:p>
    <w:p w14:paraId="5F8FED68" w14:textId="4471A860" w:rsidR="008C0EAD" w:rsidRDefault="008C0EAD" w:rsidP="008C0EAD">
      <w:pPr>
        <w:jc w:val="left"/>
        <w:rPr>
          <w:rFonts w:asciiTheme="minorEastAsia" w:hAnsiTheme="minorEastAsia"/>
          <w:noProof/>
          <w:szCs w:val="21"/>
        </w:rPr>
      </w:pPr>
      <w:r>
        <w:rPr>
          <w:rFonts w:asciiTheme="minorEastAsia" w:hAnsiTheme="minorEastAsia" w:hint="eastAsia"/>
          <w:noProof/>
          <w:szCs w:val="21"/>
        </w:rPr>
        <w:t>相談と解決の流れ</w:t>
      </w:r>
    </w:p>
    <w:p w14:paraId="2F93A7A4"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相談対応</w:t>
      </w:r>
    </w:p>
    <w:p w14:paraId="4E9317E4"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相談者（障がい者等と事業者）は、市町村の相談窓口と府の広域支援相談員に相談ができます。</w:t>
      </w:r>
    </w:p>
    <w:p w14:paraId="7C087372"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府の広域支援相談員は市町村の相談窓口と協力しながら、相談や解決の支援をします。</w:t>
      </w:r>
    </w:p>
    <w:p w14:paraId="6B41D2A6"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市町村の相談窓口と府の広域支援相談員は、助言、調査、相談員を交えた話し合いにより、解決をめざします。</w:t>
      </w:r>
    </w:p>
    <w:p w14:paraId="573B1C6B"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府の大阪府障がい者差別解消協議会は、府の広域支援相談員に助言することができます。</w:t>
      </w:r>
    </w:p>
    <w:p w14:paraId="11BE274A"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広域支援相談員による解決が難しい場合</w:t>
      </w:r>
    </w:p>
    <w:p w14:paraId="46F6035F"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障がい者等は、あっせんの求めをすることができます。</w:t>
      </w:r>
    </w:p>
    <w:p w14:paraId="66EC23E8"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府の大阪府障がい者差別解消協議会があっせんを行い、解決を目指します。</w:t>
      </w:r>
    </w:p>
    <w:p w14:paraId="0C2A77AA"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あっせんの対象は、事業者における不当な差別的取扱い、合理的配慮の不提供に限ります。</w:t>
      </w:r>
    </w:p>
    <w:p w14:paraId="543D7C50"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あっせんを行っても解決しない場合、知事による勧告・公表ができます。</w:t>
      </w:r>
    </w:p>
    <w:p w14:paraId="55D6F4CF" w14:textId="77777777" w:rsidR="008C0EAD" w:rsidRDefault="008C0EAD" w:rsidP="008C0EAD">
      <w:pPr>
        <w:jc w:val="left"/>
        <w:rPr>
          <w:rFonts w:asciiTheme="minorEastAsia" w:hAnsiTheme="minorEastAsia"/>
          <w:noProof/>
          <w:szCs w:val="21"/>
        </w:rPr>
      </w:pPr>
      <w:r w:rsidRPr="008C0EAD">
        <w:rPr>
          <w:rFonts w:asciiTheme="minorEastAsia" w:hAnsiTheme="minorEastAsia" w:hint="eastAsia"/>
          <w:noProof/>
          <w:szCs w:val="21"/>
        </w:rPr>
        <w:t>理解を</w:t>
      </w:r>
      <w:r>
        <w:rPr>
          <w:rFonts w:asciiTheme="minorEastAsia" w:hAnsiTheme="minorEastAsia" w:hint="eastAsia"/>
          <w:noProof/>
          <w:szCs w:val="21"/>
        </w:rPr>
        <w:t>深めるための啓発冊子のお知らせ</w:t>
      </w:r>
    </w:p>
    <w:p w14:paraId="327A8AAF"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大阪府障がい者差別解消ガイドライン</w:t>
      </w:r>
    </w:p>
    <w:p w14:paraId="22271B1E"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差別についての考え方や具体例等を生活場面ごとにわかりやすく解説しています。</w:t>
      </w:r>
    </w:p>
    <w:p w14:paraId="51480293"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障がい理解ハンドブック～ほんま、おおきに！！ひろげようこころの輪～</w:t>
      </w:r>
    </w:p>
    <w:p w14:paraId="52978F7A"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障がい者への必要な配慮を障がい特性ごとにわかりやすく紹介しています。</w:t>
      </w:r>
    </w:p>
    <w:p w14:paraId="1B681F81"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市町村の相談窓口と広域支援相談員の連絡先</w:t>
      </w:r>
    </w:p>
    <w:p w14:paraId="048D45B9"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大阪府のホームページ「障がいを理由とする差別の解消に向けて」に掲載しています。</w:t>
      </w:r>
    </w:p>
    <w:p w14:paraId="3AB883FA"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理解を深めるための啓発冊子もダウンロードできます。</w:t>
      </w:r>
    </w:p>
    <w:p w14:paraId="53ABE962"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大阪府</w:t>
      </w:r>
    </w:p>
    <w:p w14:paraId="05252D19"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問い合わせ先</w:t>
      </w:r>
    </w:p>
    <w:p w14:paraId="7E3FB90C"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大阪府福祉部障がい福祉室障がい福祉企画課</w:t>
      </w:r>
    </w:p>
    <w:p w14:paraId="6DAAFE90"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電話　０６－６９４４－６２７１</w:t>
      </w:r>
    </w:p>
    <w:p w14:paraId="53F4C83B" w14:textId="77777777" w:rsidR="008C0EAD" w:rsidRDefault="008C0EAD" w:rsidP="008C0EAD">
      <w:pPr>
        <w:jc w:val="left"/>
        <w:rPr>
          <w:rFonts w:asciiTheme="minorEastAsia" w:hAnsiTheme="minorEastAsia"/>
          <w:noProof/>
          <w:szCs w:val="21"/>
        </w:rPr>
      </w:pPr>
      <w:r>
        <w:rPr>
          <w:rFonts w:asciiTheme="minorEastAsia" w:hAnsiTheme="minorEastAsia" w:hint="eastAsia"/>
          <w:noProof/>
          <w:szCs w:val="21"/>
        </w:rPr>
        <w:t>ファックス　０６－６９４２－７２１５</w:t>
      </w:r>
    </w:p>
    <w:p w14:paraId="70B26B41" w14:textId="77777777" w:rsidR="008C0EAD" w:rsidRPr="00202D3D" w:rsidRDefault="008C0EAD" w:rsidP="008C0EAD">
      <w:pPr>
        <w:jc w:val="left"/>
        <w:rPr>
          <w:rFonts w:asciiTheme="minorEastAsia" w:hAnsiTheme="minorEastAsia"/>
          <w:szCs w:val="21"/>
        </w:rPr>
      </w:pPr>
      <w:r>
        <w:rPr>
          <w:rFonts w:asciiTheme="minorEastAsia" w:hAnsiTheme="minorEastAsia" w:hint="eastAsia"/>
          <w:noProof/>
          <w:szCs w:val="21"/>
        </w:rPr>
        <w:t>ホームページ　障がいを理由とする差別の解消に向けて</w:t>
      </w:r>
    </w:p>
    <w:p w14:paraId="6EBBE4C3" w14:textId="05E0320C" w:rsidR="001D6C1D" w:rsidRPr="008C0EAD" w:rsidRDefault="008C0EAD" w:rsidP="008C0EAD">
      <w:r>
        <w:rPr>
          <w:noProof/>
        </w:rPr>
        <w:drawing>
          <wp:anchor distT="0" distB="0" distL="114300" distR="114300" simplePos="0" relativeHeight="251662336" behindDoc="0" locked="0" layoutInCell="1" allowOverlap="1" wp14:anchorId="04ECAE43" wp14:editId="027E3983">
            <wp:simplePos x="0" y="0"/>
            <wp:positionH relativeFrom="margin">
              <wp:align>right</wp:align>
            </wp:positionH>
            <wp:positionV relativeFrom="paragraph">
              <wp:posOffset>2186940</wp:posOffset>
            </wp:positionV>
            <wp:extent cx="716280" cy="716280"/>
            <wp:effectExtent l="0" t="0" r="7620" b="7620"/>
            <wp:wrapNone/>
            <wp:docPr id="1" name="JAVISCODE001-104"/>
            <wp:cNvGraphicFramePr/>
            <a:graphic xmlns:a="http://schemas.openxmlformats.org/drawingml/2006/main">
              <a:graphicData uri="http://schemas.openxmlformats.org/drawingml/2006/picture">
                <pic:pic xmlns:pic="http://schemas.openxmlformats.org/drawingml/2006/picture">
                  <pic:nvPicPr>
                    <pic:cNvPr id="1" name="JAVISCODE001-1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anchor>
        </w:drawing>
      </w:r>
    </w:p>
    <w:sectPr w:rsidR="001D6C1D" w:rsidRPr="008C0EAD" w:rsidSect="00EE092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5E61" w14:textId="77777777" w:rsidR="000833E8" w:rsidRDefault="000833E8" w:rsidP="006D6863">
      <w:r>
        <w:separator/>
      </w:r>
    </w:p>
  </w:endnote>
  <w:endnote w:type="continuationSeparator" w:id="0">
    <w:p w14:paraId="597DE8EE" w14:textId="77777777" w:rsidR="000833E8" w:rsidRDefault="000833E8" w:rsidP="006D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112A" w14:textId="77777777" w:rsidR="000833E8" w:rsidRDefault="000833E8" w:rsidP="006D6863">
      <w:r>
        <w:separator/>
      </w:r>
    </w:p>
  </w:footnote>
  <w:footnote w:type="continuationSeparator" w:id="0">
    <w:p w14:paraId="2D3F693D" w14:textId="77777777" w:rsidR="000833E8" w:rsidRDefault="000833E8" w:rsidP="006D6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90"/>
    <w:rsid w:val="000833E8"/>
    <w:rsid w:val="001A6769"/>
    <w:rsid w:val="001D6C1D"/>
    <w:rsid w:val="00342909"/>
    <w:rsid w:val="00346E92"/>
    <w:rsid w:val="004535DB"/>
    <w:rsid w:val="004D5D0E"/>
    <w:rsid w:val="005C5FE7"/>
    <w:rsid w:val="0065309C"/>
    <w:rsid w:val="006D6863"/>
    <w:rsid w:val="007035EB"/>
    <w:rsid w:val="00751EE8"/>
    <w:rsid w:val="00777DD9"/>
    <w:rsid w:val="008323FE"/>
    <w:rsid w:val="00860C88"/>
    <w:rsid w:val="00861549"/>
    <w:rsid w:val="008A523D"/>
    <w:rsid w:val="008B3E41"/>
    <w:rsid w:val="008C0EAD"/>
    <w:rsid w:val="00950F98"/>
    <w:rsid w:val="009B4C45"/>
    <w:rsid w:val="009B65FC"/>
    <w:rsid w:val="009D608A"/>
    <w:rsid w:val="00A37850"/>
    <w:rsid w:val="00A44507"/>
    <w:rsid w:val="00AE1E38"/>
    <w:rsid w:val="00B6773F"/>
    <w:rsid w:val="00B73596"/>
    <w:rsid w:val="00B751D9"/>
    <w:rsid w:val="00CA6012"/>
    <w:rsid w:val="00CD2560"/>
    <w:rsid w:val="00E26390"/>
    <w:rsid w:val="00E50B63"/>
    <w:rsid w:val="00EC7616"/>
    <w:rsid w:val="00EE0925"/>
    <w:rsid w:val="00F35AD9"/>
    <w:rsid w:val="00F76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7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D0E"/>
    <w:rPr>
      <w:rFonts w:asciiTheme="majorHAnsi" w:eastAsiaTheme="majorEastAsia" w:hAnsiTheme="majorHAnsi" w:cstheme="majorBidi"/>
      <w:sz w:val="18"/>
      <w:szCs w:val="18"/>
    </w:rPr>
  </w:style>
  <w:style w:type="paragraph" w:styleId="a5">
    <w:name w:val="header"/>
    <w:basedOn w:val="a"/>
    <w:link w:val="a6"/>
    <w:uiPriority w:val="99"/>
    <w:unhideWhenUsed/>
    <w:rsid w:val="006D6863"/>
    <w:pPr>
      <w:tabs>
        <w:tab w:val="center" w:pos="4252"/>
        <w:tab w:val="right" w:pos="8504"/>
      </w:tabs>
      <w:snapToGrid w:val="0"/>
    </w:pPr>
  </w:style>
  <w:style w:type="character" w:customStyle="1" w:styleId="a6">
    <w:name w:val="ヘッダー (文字)"/>
    <w:basedOn w:val="a0"/>
    <w:link w:val="a5"/>
    <w:uiPriority w:val="99"/>
    <w:rsid w:val="006D6863"/>
  </w:style>
  <w:style w:type="paragraph" w:styleId="a7">
    <w:name w:val="footer"/>
    <w:basedOn w:val="a"/>
    <w:link w:val="a8"/>
    <w:uiPriority w:val="99"/>
    <w:unhideWhenUsed/>
    <w:rsid w:val="006D6863"/>
    <w:pPr>
      <w:tabs>
        <w:tab w:val="center" w:pos="4252"/>
        <w:tab w:val="right" w:pos="8504"/>
      </w:tabs>
      <w:snapToGrid w:val="0"/>
    </w:pPr>
  </w:style>
  <w:style w:type="character" w:customStyle="1" w:styleId="a8">
    <w:name w:val="フッター (文字)"/>
    <w:basedOn w:val="a0"/>
    <w:link w:val="a7"/>
    <w:uiPriority w:val="99"/>
    <w:rsid w:val="006D6863"/>
  </w:style>
  <w:style w:type="paragraph" w:styleId="a9">
    <w:name w:val="List Paragraph"/>
    <w:basedOn w:val="a"/>
    <w:uiPriority w:val="34"/>
    <w:qFormat/>
    <w:rsid w:val="008C0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0016">
      <w:bodyDiv w:val="1"/>
      <w:marLeft w:val="0"/>
      <w:marRight w:val="0"/>
      <w:marTop w:val="0"/>
      <w:marBottom w:val="0"/>
      <w:divBdr>
        <w:top w:val="none" w:sz="0" w:space="0" w:color="auto"/>
        <w:left w:val="none" w:sz="0" w:space="0" w:color="auto"/>
        <w:bottom w:val="none" w:sz="0" w:space="0" w:color="auto"/>
        <w:right w:val="none" w:sz="0" w:space="0" w:color="auto"/>
      </w:divBdr>
    </w:div>
    <w:div w:id="246351319">
      <w:bodyDiv w:val="1"/>
      <w:marLeft w:val="0"/>
      <w:marRight w:val="0"/>
      <w:marTop w:val="0"/>
      <w:marBottom w:val="0"/>
      <w:divBdr>
        <w:top w:val="none" w:sz="0" w:space="0" w:color="auto"/>
        <w:left w:val="none" w:sz="0" w:space="0" w:color="auto"/>
        <w:bottom w:val="none" w:sz="0" w:space="0" w:color="auto"/>
        <w:right w:val="none" w:sz="0" w:space="0" w:color="auto"/>
      </w:divBdr>
    </w:div>
    <w:div w:id="1005782672">
      <w:bodyDiv w:val="1"/>
      <w:marLeft w:val="0"/>
      <w:marRight w:val="0"/>
      <w:marTop w:val="0"/>
      <w:marBottom w:val="0"/>
      <w:divBdr>
        <w:top w:val="none" w:sz="0" w:space="0" w:color="auto"/>
        <w:left w:val="none" w:sz="0" w:space="0" w:color="auto"/>
        <w:bottom w:val="none" w:sz="0" w:space="0" w:color="auto"/>
        <w:right w:val="none" w:sz="0" w:space="0" w:color="auto"/>
      </w:divBdr>
    </w:div>
    <w:div w:id="20926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D364-A1E9-4AB3-A5DA-494E9F6E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2024-07-04T05:17:00Z</dcterms:created>
  <dcterms:modified xsi:type="dcterms:W3CDTF">2024-07-05T07:49:00Z</dcterms:modified>
</cp:coreProperties>
</file>