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6ADEC" w14:textId="77777777" w:rsidR="00281D2F" w:rsidRPr="0079364B" w:rsidRDefault="00281D2F" w:rsidP="00281D2F">
      <w:pPr>
        <w:pStyle w:val="1"/>
        <w:rPr>
          <w:rFonts w:asciiTheme="minorEastAsia" w:eastAsiaTheme="minorEastAsia" w:hAnsiTheme="minorEastAsia"/>
        </w:rPr>
      </w:pPr>
      <w:r w:rsidRPr="0079364B">
        <w:rPr>
          <w:rFonts w:asciiTheme="minorEastAsia" w:eastAsiaTheme="minorEastAsia" w:hAnsiTheme="minorEastAsia" w:hint="eastAsia"/>
          <w:b/>
          <w:sz w:val="28"/>
          <w:szCs w:val="28"/>
        </w:rPr>
        <w:t>１７　制限の緩和</w:t>
      </w:r>
      <w:r w:rsidRPr="0079364B">
        <w:rPr>
          <w:rFonts w:asciiTheme="minorEastAsia" w:eastAsiaTheme="minorEastAsia" w:hAnsiTheme="minorEastAsia" w:hint="eastAsia"/>
          <w:sz w:val="21"/>
          <w:szCs w:val="21"/>
        </w:rPr>
        <w:t>（条例第３１条関係）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77"/>
        <w:gridCol w:w="4455"/>
      </w:tblGrid>
      <w:tr w:rsidR="00281D2F" w:rsidRPr="0079364B" w14:paraId="30F63584" w14:textId="77777777" w:rsidTr="00DF07AB">
        <w:tc>
          <w:tcPr>
            <w:tcW w:w="4582" w:type="dxa"/>
            <w:tcBorders>
              <w:top w:val="single" w:sz="12" w:space="0" w:color="auto"/>
              <w:left w:val="single" w:sz="12" w:space="0" w:color="auto"/>
              <w:bottom w:val="single" w:sz="12" w:space="0" w:color="auto"/>
            </w:tcBorders>
            <w:shd w:val="clear" w:color="auto" w:fill="FFFF00"/>
            <w:tcMar>
              <w:left w:w="85" w:type="dxa"/>
              <w:right w:w="85" w:type="dxa"/>
            </w:tcMar>
          </w:tcPr>
          <w:p w14:paraId="74EB1A03" w14:textId="77777777" w:rsidR="00281D2F" w:rsidRPr="0079364B" w:rsidRDefault="00281D2F" w:rsidP="00DF07AB">
            <w:pPr>
              <w:tabs>
                <w:tab w:val="left" w:pos="938"/>
              </w:tabs>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政 令</w:t>
            </w:r>
          </w:p>
        </w:tc>
        <w:tc>
          <w:tcPr>
            <w:tcW w:w="4550" w:type="dxa"/>
            <w:tcBorders>
              <w:top w:val="single" w:sz="12" w:space="0" w:color="auto"/>
              <w:bottom w:val="single" w:sz="12" w:space="0" w:color="auto"/>
              <w:right w:val="single" w:sz="12" w:space="0" w:color="auto"/>
            </w:tcBorders>
            <w:shd w:val="clear" w:color="auto" w:fill="FFFF00"/>
            <w:tcMar>
              <w:left w:w="85" w:type="dxa"/>
              <w:right w:w="85" w:type="dxa"/>
            </w:tcMar>
          </w:tcPr>
          <w:p w14:paraId="7A51D8C7" w14:textId="77777777" w:rsidR="00281D2F" w:rsidRPr="0079364B" w:rsidRDefault="00281D2F"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条 例</w:t>
            </w:r>
          </w:p>
        </w:tc>
      </w:tr>
      <w:tr w:rsidR="00281D2F" w:rsidRPr="0079364B" w14:paraId="62AB9958" w14:textId="77777777" w:rsidTr="00DF07AB">
        <w:tc>
          <w:tcPr>
            <w:tcW w:w="4582" w:type="dxa"/>
            <w:tcBorders>
              <w:top w:val="single" w:sz="12" w:space="0" w:color="auto"/>
              <w:left w:val="single" w:sz="12" w:space="0" w:color="auto"/>
              <w:bottom w:val="dotted" w:sz="4" w:space="0" w:color="auto"/>
            </w:tcBorders>
            <w:shd w:val="clear" w:color="auto" w:fill="auto"/>
            <w:tcMar>
              <w:left w:w="85" w:type="dxa"/>
              <w:right w:w="85" w:type="dxa"/>
            </w:tcMar>
          </w:tcPr>
          <w:p w14:paraId="706FE018" w14:textId="77777777" w:rsidR="00281D2F" w:rsidRPr="0079364B" w:rsidRDefault="00281D2F" w:rsidP="00DF07AB">
            <w:pPr>
              <w:ind w:left="200" w:hangingChars="100" w:hanging="200"/>
              <w:rPr>
                <w:rFonts w:asciiTheme="minorEastAsia" w:eastAsiaTheme="minorEastAsia" w:hAnsiTheme="minorEastAsia"/>
                <w:color w:val="000000"/>
                <w:sz w:val="20"/>
                <w:szCs w:val="20"/>
              </w:rPr>
            </w:pPr>
          </w:p>
        </w:tc>
        <w:tc>
          <w:tcPr>
            <w:tcW w:w="4550" w:type="dxa"/>
            <w:tcBorders>
              <w:top w:val="single" w:sz="12" w:space="0" w:color="auto"/>
              <w:bottom w:val="dotted" w:sz="4" w:space="0" w:color="auto"/>
              <w:right w:val="single" w:sz="12" w:space="0" w:color="auto"/>
            </w:tcBorders>
            <w:shd w:val="clear" w:color="auto" w:fill="auto"/>
            <w:tcMar>
              <w:left w:w="85" w:type="dxa"/>
              <w:right w:w="85" w:type="dxa"/>
            </w:tcMar>
          </w:tcPr>
          <w:p w14:paraId="0EF4DC14" w14:textId="77777777" w:rsidR="00281D2F" w:rsidRPr="0079364B" w:rsidRDefault="00281D2F"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第三十一条　第十一条から第二十九条までの規定は、その構造、敷地の状況又は利用の目的上やむを得ないと所管行政庁が認める特別特定建築物については、適用しない。</w:t>
            </w:r>
          </w:p>
        </w:tc>
      </w:tr>
      <w:tr w:rsidR="00281D2F" w:rsidRPr="0079364B" w14:paraId="28AF36CA" w14:textId="77777777" w:rsidTr="00DF07AB">
        <w:tc>
          <w:tcPr>
            <w:tcW w:w="4582" w:type="dxa"/>
            <w:tcBorders>
              <w:top w:val="dotted" w:sz="4" w:space="0" w:color="auto"/>
              <w:left w:val="single" w:sz="12" w:space="0" w:color="auto"/>
              <w:bottom w:val="single" w:sz="12" w:space="0" w:color="auto"/>
            </w:tcBorders>
            <w:shd w:val="clear" w:color="auto" w:fill="auto"/>
            <w:tcMar>
              <w:left w:w="85" w:type="dxa"/>
              <w:right w:w="85" w:type="dxa"/>
            </w:tcMar>
          </w:tcPr>
          <w:p w14:paraId="6C26BA01" w14:textId="77777777" w:rsidR="00281D2F" w:rsidRPr="0079364B" w:rsidRDefault="00281D2F" w:rsidP="00DF07AB">
            <w:pPr>
              <w:ind w:leftChars="96" w:left="402" w:hangingChars="100" w:hanging="200"/>
              <w:rPr>
                <w:rFonts w:asciiTheme="minorEastAsia" w:eastAsiaTheme="minorEastAsia" w:hAnsiTheme="minorEastAsia"/>
                <w:color w:val="000000"/>
                <w:sz w:val="20"/>
                <w:szCs w:val="20"/>
              </w:rPr>
            </w:pPr>
          </w:p>
        </w:tc>
        <w:tc>
          <w:tcPr>
            <w:tcW w:w="4550" w:type="dxa"/>
            <w:tcBorders>
              <w:top w:val="dotted" w:sz="4" w:space="0" w:color="auto"/>
              <w:bottom w:val="single" w:sz="12" w:space="0" w:color="auto"/>
              <w:right w:val="single" w:sz="12" w:space="0" w:color="auto"/>
            </w:tcBorders>
            <w:shd w:val="clear" w:color="auto" w:fill="auto"/>
            <w:tcMar>
              <w:left w:w="85" w:type="dxa"/>
              <w:right w:w="85" w:type="dxa"/>
            </w:tcMar>
          </w:tcPr>
          <w:p w14:paraId="24BAADEE" w14:textId="77777777" w:rsidR="00281D2F" w:rsidRPr="0079364B" w:rsidRDefault="00281D2F"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２　第十四条から第二十九条までの規定は、これらの規定を適用する場合と同等以上に高齢者、障害者等が円滑に利用できると所管行政庁が認める特別特定建築物については、適用しない。</w:t>
            </w:r>
          </w:p>
        </w:tc>
      </w:tr>
    </w:tbl>
    <w:p w14:paraId="64D5A71E" w14:textId="77777777" w:rsidR="00281D2F" w:rsidRPr="0079364B" w:rsidRDefault="00281D2F" w:rsidP="00281D2F">
      <w:pPr>
        <w:rPr>
          <w:rFonts w:asciiTheme="minorEastAsia" w:eastAsiaTheme="minorEastAsia" w:hAnsiTheme="minorEastAsia"/>
          <w:color w:val="000000"/>
        </w:rPr>
      </w:pPr>
    </w:p>
    <w:p w14:paraId="73790B87" w14:textId="77777777" w:rsidR="00281D2F" w:rsidRPr="0079364B" w:rsidRDefault="00281D2F" w:rsidP="00281D2F">
      <w:pPr>
        <w:rPr>
          <w:rFonts w:asciiTheme="minorEastAsia" w:eastAsiaTheme="minorEastAsia" w:hAnsiTheme="minorEastAsia"/>
          <w:color w:val="000000"/>
          <w:sz w:val="24"/>
        </w:rPr>
      </w:pPr>
      <w:r w:rsidRPr="0079364B">
        <w:rPr>
          <w:rFonts w:asciiTheme="minorEastAsia" w:eastAsiaTheme="minorEastAsia" w:hAnsiTheme="minorEastAsia" w:hint="eastAsia"/>
          <w:color w:val="000000"/>
          <w:sz w:val="24"/>
        </w:rPr>
        <w:t>〔解説〕</w:t>
      </w:r>
    </w:p>
    <w:p w14:paraId="05BC2DE3" w14:textId="77777777" w:rsidR="00281D2F" w:rsidRPr="0079364B" w:rsidRDefault="00281D2F" w:rsidP="00281D2F">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○所管行政庁が</w:t>
      </w:r>
      <w:r w:rsidRPr="0079364B">
        <w:rPr>
          <w:rFonts w:asciiTheme="minorEastAsia" w:eastAsiaTheme="minorEastAsia" w:hAnsiTheme="minorEastAsia" w:hint="eastAsia"/>
          <w:color w:val="000000"/>
          <w:sz w:val="20"/>
          <w:szCs w:val="20"/>
        </w:rPr>
        <w:t>構造、敷地の状況又は利用の目的上</w:t>
      </w:r>
      <w:r w:rsidRPr="0079364B">
        <w:rPr>
          <w:rFonts w:asciiTheme="minorEastAsia" w:eastAsiaTheme="minorEastAsia" w:hAnsiTheme="minorEastAsia" w:hint="eastAsia"/>
          <w:color w:val="000000"/>
        </w:rPr>
        <w:t>やむを得ないと認めた建築物、または、同等以上に円滑に利用できると認めた建築物に対して、条例の規定を適用しないこととする条項である。</w:t>
      </w:r>
    </w:p>
    <w:p w14:paraId="1F390A0D" w14:textId="77777777" w:rsidR="00281D2F" w:rsidRPr="00587B01" w:rsidRDefault="00281D2F" w:rsidP="00281D2F">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○なお、政令の規定に関しては、緩和措置は存在しないため、留意が必要である。</w:t>
      </w:r>
    </w:p>
    <w:p w14:paraId="6A434B1E" w14:textId="77777777" w:rsidR="00281D2F" w:rsidRPr="00587B01" w:rsidRDefault="00281D2F" w:rsidP="00281D2F">
      <w:pPr>
        <w:rPr>
          <w:rFonts w:asciiTheme="minorEastAsia" w:eastAsiaTheme="minorEastAsia" w:hAnsiTheme="minorEastAsia"/>
          <w:shd w:val="pct15" w:color="auto" w:fill="FFFFFF"/>
        </w:rPr>
      </w:pPr>
    </w:p>
    <w:p w14:paraId="20A90CED" w14:textId="03F2094C" w:rsidR="00FB19E4" w:rsidRPr="00281D2F" w:rsidRDefault="00FB19E4" w:rsidP="00281D2F"/>
    <w:sectPr w:rsidR="00FB19E4" w:rsidRPr="00281D2F" w:rsidSect="00CC0A30">
      <w:footerReference w:type="default" r:id="rId11"/>
      <w:pgSz w:w="11906" w:h="16838" w:code="9"/>
      <w:pgMar w:top="1701" w:right="1418" w:bottom="1134" w:left="1418" w:header="851" w:footer="510" w:gutter="0"/>
      <w:pgNumType w:fmt="numberInDash" w:start="13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altName w:val="ＭＳ 明朝"/>
    <w:charset w:val="80"/>
    <w:family w:val="auto"/>
    <w:pitch w:val="fixed"/>
    <w:sig w:usb0="00000000"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23997"/>
      <w:docPartObj>
        <w:docPartGallery w:val="Page Numbers (Bottom of Page)"/>
        <w:docPartUnique/>
      </w:docPartObj>
    </w:sdtPr>
    <w:sdtEndPr/>
    <w:sdtContent>
      <w:p w14:paraId="16DDE016" w14:textId="234E5195" w:rsidR="00957082" w:rsidRDefault="00957082" w:rsidP="001F547D">
        <w:pPr>
          <w:pStyle w:val="a6"/>
          <w:jc w:val="center"/>
        </w:pPr>
        <w:r>
          <w:fldChar w:fldCharType="begin"/>
        </w:r>
        <w:r>
          <w:instrText>PAGE   \* MERGEFORMAT</w:instrText>
        </w:r>
        <w:r>
          <w:fldChar w:fldCharType="separate"/>
        </w:r>
        <w:r w:rsidR="00432D09" w:rsidRPr="00432D09">
          <w:rPr>
            <w:noProof/>
            <w:lang w:val="ja-JP"/>
          </w:rPr>
          <w:t>-</w:t>
        </w:r>
        <w:r w:rsidR="00432D09">
          <w:rPr>
            <w:noProof/>
          </w:rPr>
          <w:t xml:space="preserve"> 115 -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1D2F"/>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2D09"/>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0A30"/>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ACA6D-3039-4B73-AA27-1E0092C6B2D4}">
  <ds:schemaRefs>
    <ds:schemaRef ds:uri="c736cf6b-2129-4b8b-aeb8-81e1ec8849f8"/>
    <ds:schemaRef ds:uri="http://purl.org/dc/terms/"/>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3.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709D33-D61E-4AF2-BCC3-BC0CB1852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330</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2022-04-06T07:00:00Z</dcterms:created>
  <dcterms:modified xsi:type="dcterms:W3CDTF">2025-05-19T05:52:00Z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