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2FA7" w14:textId="77777777" w:rsidR="00B35621" w:rsidRPr="0079364B" w:rsidRDefault="00B35621" w:rsidP="00B35621">
      <w:pPr>
        <w:pStyle w:val="1"/>
        <w:ind w:left="280" w:hangingChars="100" w:hanging="280"/>
        <w:rPr>
          <w:rFonts w:asciiTheme="minorEastAsia" w:eastAsiaTheme="minorEastAsia" w:hAnsiTheme="minorEastAsia"/>
          <w:sz w:val="22"/>
          <w:szCs w:val="22"/>
        </w:rPr>
      </w:pPr>
      <w:r w:rsidRPr="0079364B">
        <w:rPr>
          <w:rFonts w:asciiTheme="minorEastAsia" w:eastAsiaTheme="minorEastAsia" w:hAnsiTheme="minorEastAsia" w:hint="eastAsia"/>
          <w:bCs/>
          <w:sz w:val="28"/>
        </w:rPr>
        <w:t>■　条例対象小規模特別特定建築物に適用する建築物移動等円滑化基準</w:t>
      </w:r>
      <w:r w:rsidRPr="0079364B">
        <w:rPr>
          <w:rFonts w:asciiTheme="minorEastAsia" w:eastAsiaTheme="minorEastAsia" w:hAnsiTheme="minorEastAsia" w:hint="eastAsia"/>
          <w:sz w:val="22"/>
          <w:szCs w:val="22"/>
        </w:rPr>
        <w:t>（政令第</w:t>
      </w:r>
      <w:r w:rsidRPr="0079364B">
        <w:rPr>
          <w:rFonts w:asciiTheme="minorEastAsia" w:eastAsiaTheme="minorEastAsia" w:hAnsiTheme="minorEastAsia"/>
          <w:sz w:val="22"/>
          <w:szCs w:val="22"/>
        </w:rPr>
        <w:t>10</w:t>
      </w:r>
      <w:r w:rsidRPr="0079364B">
        <w:rPr>
          <w:rFonts w:asciiTheme="minorEastAsia" w:eastAsiaTheme="minorEastAsia" w:hAnsiTheme="minorEastAsia" w:hint="eastAsia"/>
          <w:sz w:val="22"/>
          <w:szCs w:val="22"/>
        </w:rPr>
        <w:t>条　条例第</w:t>
      </w:r>
      <w:r w:rsidRPr="0079364B">
        <w:rPr>
          <w:rFonts w:asciiTheme="minorEastAsia" w:eastAsiaTheme="minorEastAsia" w:hAnsiTheme="minorEastAsia"/>
          <w:sz w:val="22"/>
          <w:szCs w:val="22"/>
        </w:rPr>
        <w:t>13</w:t>
      </w:r>
      <w:r w:rsidRPr="0079364B">
        <w:rPr>
          <w:rFonts w:asciiTheme="minorEastAsia" w:eastAsiaTheme="minorEastAsia" w:hAnsiTheme="minorEastAsia" w:hint="eastAsia"/>
          <w:sz w:val="22"/>
          <w:szCs w:val="22"/>
        </w:rPr>
        <w:t>条関係）</w:t>
      </w:r>
    </w:p>
    <w:tbl>
      <w:tblPr>
        <w:tblStyle w:val="a3"/>
        <w:tblW w:w="5000" w:type="pct"/>
        <w:tblLook w:val="04A0" w:firstRow="1" w:lastRow="0" w:firstColumn="1" w:lastColumn="0" w:noHBand="0" w:noVBand="1"/>
      </w:tblPr>
      <w:tblGrid>
        <w:gridCol w:w="4520"/>
        <w:gridCol w:w="4520"/>
      </w:tblGrid>
      <w:tr w:rsidR="00B35621" w:rsidRPr="0079364B" w14:paraId="4919210C" w14:textId="77777777" w:rsidTr="00DF07AB">
        <w:tc>
          <w:tcPr>
            <w:tcW w:w="2500" w:type="pct"/>
            <w:tcBorders>
              <w:top w:val="single" w:sz="12" w:space="0" w:color="auto"/>
              <w:left w:val="single" w:sz="12" w:space="0" w:color="auto"/>
              <w:bottom w:val="single" w:sz="12" w:space="0" w:color="auto"/>
            </w:tcBorders>
            <w:shd w:val="clear" w:color="auto" w:fill="FFFF00"/>
            <w:vAlign w:val="center"/>
          </w:tcPr>
          <w:p w14:paraId="5C170B55" w14:textId="77777777" w:rsidR="00B35621" w:rsidRPr="0079364B" w:rsidRDefault="00B35621" w:rsidP="00DF07AB">
            <w:pPr>
              <w:jc w:val="cente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政令</w:t>
            </w:r>
          </w:p>
        </w:tc>
        <w:tc>
          <w:tcPr>
            <w:tcW w:w="2500" w:type="pct"/>
            <w:tcBorders>
              <w:top w:val="single" w:sz="12" w:space="0" w:color="auto"/>
              <w:bottom w:val="single" w:sz="12" w:space="0" w:color="auto"/>
              <w:right w:val="single" w:sz="12" w:space="0" w:color="auto"/>
            </w:tcBorders>
            <w:shd w:val="clear" w:color="auto" w:fill="FFFF00"/>
            <w:vAlign w:val="center"/>
          </w:tcPr>
          <w:p w14:paraId="7B1AAAD8" w14:textId="77777777" w:rsidR="00B35621" w:rsidRPr="0079364B" w:rsidRDefault="00B35621" w:rsidP="00DF07AB">
            <w:pPr>
              <w:jc w:val="cente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条例</w:t>
            </w:r>
          </w:p>
        </w:tc>
      </w:tr>
      <w:tr w:rsidR="00B35621" w:rsidRPr="0079364B" w14:paraId="7372CFF8" w14:textId="77777777" w:rsidTr="00DF07AB">
        <w:tc>
          <w:tcPr>
            <w:tcW w:w="2500" w:type="pct"/>
            <w:tcBorders>
              <w:top w:val="single" w:sz="12" w:space="0" w:color="auto"/>
              <w:left w:val="single" w:sz="12" w:space="0" w:color="auto"/>
              <w:bottom w:val="dotted" w:sz="4" w:space="0" w:color="auto"/>
              <w:right w:val="dotted" w:sz="4" w:space="0" w:color="auto"/>
            </w:tcBorders>
          </w:tcPr>
          <w:p w14:paraId="64159782" w14:textId="77777777" w:rsidR="00B35621" w:rsidRPr="0079364B" w:rsidRDefault="00B35621" w:rsidP="00DF07AB">
            <w:pPr>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第十条　法第十四条第一項の政令で定める建築物特定施設の構造及び配置に関する基準(次項に規定する特別特定建築物に係るものを除く。)は、次条から第二十五条までに定めるところによる。</w:t>
            </w:r>
          </w:p>
        </w:tc>
        <w:tc>
          <w:tcPr>
            <w:tcW w:w="2500" w:type="pct"/>
            <w:tcBorders>
              <w:top w:val="single" w:sz="12" w:space="0" w:color="auto"/>
              <w:left w:val="dotted" w:sz="4" w:space="0" w:color="auto"/>
              <w:bottom w:val="dotted" w:sz="4" w:space="0" w:color="auto"/>
              <w:right w:val="single" w:sz="12" w:space="0" w:color="auto"/>
            </w:tcBorders>
          </w:tcPr>
          <w:p w14:paraId="2B624160" w14:textId="77777777" w:rsidR="00B35621" w:rsidRPr="0079364B" w:rsidRDefault="00B35621" w:rsidP="00DF07AB">
            <w:pPr>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第十三条　法第十四条第三項の規定により建築物移動等円滑化基準に条例で付加する必要な事項（条例対象小規模特別特定建築物に係るものを除く。）は、次条から第二十九条まで（第十八条第五項及び第九項、第二十四条第四項並びに第二十八条第二項を除く。）に定めるところによる。</w:t>
            </w:r>
          </w:p>
        </w:tc>
      </w:tr>
      <w:tr w:rsidR="00B35621" w:rsidRPr="0079364B" w14:paraId="2A96B9D1" w14:textId="77777777" w:rsidTr="00DF07AB">
        <w:tc>
          <w:tcPr>
            <w:tcW w:w="2500" w:type="pct"/>
            <w:tcBorders>
              <w:top w:val="dotted" w:sz="4" w:space="0" w:color="auto"/>
              <w:left w:val="single" w:sz="12" w:space="0" w:color="auto"/>
              <w:bottom w:val="single" w:sz="12" w:space="0" w:color="auto"/>
              <w:right w:val="dotted" w:sz="4" w:space="0" w:color="auto"/>
            </w:tcBorders>
          </w:tcPr>
          <w:p w14:paraId="16A163F8" w14:textId="77777777" w:rsidR="00B35621" w:rsidRPr="0079364B" w:rsidRDefault="00B35621" w:rsidP="00DF07AB">
            <w:pPr>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２　法第十四条第三項の規定により地方公共団体が条例で同条第一項の建築の規模を床面積の合計五百平方メートル未満で定めた場合における床面積の合計が五百平方メートル未満の当該建築に係る特別特定建築物(公衆便所を除き、同条第三項の条例で定める特定建築物を含む。第二十六条において「条例対象小規模特別特定建築物」という。)についての法第十四条第一項の政令で定める建築物特定施設の構造及び配置に関する基準は、第二十条及び第二十六条に定めるところによる。</w:t>
            </w:r>
          </w:p>
        </w:tc>
        <w:tc>
          <w:tcPr>
            <w:tcW w:w="2500" w:type="pct"/>
            <w:tcBorders>
              <w:top w:val="dotted" w:sz="4" w:space="0" w:color="auto"/>
              <w:left w:val="dotted" w:sz="4" w:space="0" w:color="auto"/>
              <w:bottom w:val="single" w:sz="12" w:space="0" w:color="auto"/>
              <w:right w:val="single" w:sz="12" w:space="0" w:color="auto"/>
            </w:tcBorders>
          </w:tcPr>
          <w:p w14:paraId="4884D2C5" w14:textId="77777777" w:rsidR="00B35621" w:rsidRPr="0079364B" w:rsidRDefault="00B35621" w:rsidP="00DF07AB">
            <w:pPr>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２　条例対象小規模特別特定建築物に係る法第十四条第三項の規定により建築物移動等円滑化基準に条例で付加する必要な事項は、令第十一条から第十三条まで、第十七条、第十八条、第二十一条及び第二十二条（令第二十四条及び第二十五条の規定により読み替えて適用する場合を含む。）に定めるところによるほか、次条から第十七条まで、第十八条（第三項、第七項及び第八項を除く。）、第二十二条、第二十三条、第二十四条第一項第二号（トを除く。）及び同項第三号並びに同条第四項、第二十五条、第二十六条、第二十八条並びに第二十九条に定めるところによる。</w:t>
            </w:r>
          </w:p>
        </w:tc>
      </w:tr>
    </w:tbl>
    <w:p w14:paraId="73635021" w14:textId="77777777" w:rsidR="00B35621" w:rsidRPr="0079364B" w:rsidRDefault="00B35621" w:rsidP="00B35621">
      <w:pPr>
        <w:rPr>
          <w:rFonts w:asciiTheme="minorEastAsia" w:eastAsiaTheme="minorEastAsia" w:hAnsiTheme="minorEastAsia"/>
          <w:color w:val="000000"/>
        </w:rPr>
      </w:pPr>
    </w:p>
    <w:p w14:paraId="4405ED96" w14:textId="77777777" w:rsidR="00B35621" w:rsidRPr="0079364B" w:rsidRDefault="00B35621" w:rsidP="00B35621">
      <w:pPr>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〔解説〕</w:t>
      </w:r>
    </w:p>
    <w:p w14:paraId="3278670A" w14:textId="77777777" w:rsidR="00B35621" w:rsidRPr="0079364B" w:rsidRDefault="00B35621" w:rsidP="00B35621">
      <w:pPr>
        <w:rPr>
          <w:rFonts w:asciiTheme="minorEastAsia" w:eastAsiaTheme="minorEastAsia" w:hAnsiTheme="minorEastAsia"/>
          <w:color w:val="000000"/>
          <w:szCs w:val="21"/>
        </w:rPr>
      </w:pPr>
    </w:p>
    <w:p w14:paraId="5015B26A" w14:textId="77777777" w:rsidR="00B35621" w:rsidRPr="0079364B" w:rsidRDefault="00B35621" w:rsidP="00B35621">
      <w:pPr>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従来のバリアフリー法では、大規模な建築物に対して基準適合を義務化することを前提としていたため、小規模の建築物を対象とした場合に建築主に過度な負担が生じることが想定され、地方公共団体での条例制定が進まない一因となっていた。</w:t>
      </w:r>
    </w:p>
    <w:p w14:paraId="6B6A66CB" w14:textId="77777777" w:rsidR="00B35621" w:rsidRPr="0079364B" w:rsidRDefault="00B35621" w:rsidP="00B35621">
      <w:pPr>
        <w:ind w:leftChars="100" w:left="420" w:hangingChars="100" w:hanging="210"/>
        <w:rPr>
          <w:rFonts w:asciiTheme="minorEastAsia" w:eastAsiaTheme="minorEastAsia" w:hAnsiTheme="minorEastAsia"/>
          <w:color w:val="000000"/>
          <w:szCs w:val="21"/>
        </w:rPr>
      </w:pPr>
    </w:p>
    <w:p w14:paraId="6BF6753A" w14:textId="77777777" w:rsidR="00B35621" w:rsidRPr="0079364B" w:rsidRDefault="00B35621" w:rsidP="00B35621">
      <w:pPr>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○このため、令和2年12月に地方公共団体がより柔軟に条例による規模引き下げを行うことができるよう、500㎡未満の建築物を対象とした場合に適用される移動等円滑化基準の見直しが行われたところ。</w:t>
      </w:r>
    </w:p>
    <w:p w14:paraId="68FC1918" w14:textId="77777777" w:rsidR="00B35621" w:rsidRPr="0079364B" w:rsidRDefault="00B35621" w:rsidP="00B35621">
      <w:pPr>
        <w:ind w:leftChars="100" w:left="420" w:hangingChars="100" w:hanging="210"/>
        <w:rPr>
          <w:rFonts w:asciiTheme="minorEastAsia" w:eastAsiaTheme="minorEastAsia" w:hAnsiTheme="minorEastAsia"/>
          <w:color w:val="000000"/>
          <w:szCs w:val="21"/>
        </w:rPr>
      </w:pPr>
    </w:p>
    <w:p w14:paraId="2A5BA4A2" w14:textId="77777777" w:rsidR="00B35621" w:rsidRPr="0079364B" w:rsidRDefault="00B35621" w:rsidP="00B35621">
      <w:pPr>
        <w:ind w:leftChars="100" w:left="420" w:hangingChars="100" w:hanging="210"/>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○これにより、500㎡未満の建築物における政令の移動等円滑化基準が緩和されることになりましたが、大阪府では、従来どおりの基準が引き続き適用されるよう条例で基準を付加している。</w:t>
      </w:r>
    </w:p>
    <w:p w14:paraId="20A90CED" w14:textId="481C968F" w:rsidR="00FB19E4" w:rsidRPr="00B35621" w:rsidRDefault="00FB19E4" w:rsidP="00B35621"/>
    <w:sectPr w:rsidR="00FB19E4" w:rsidRPr="00B35621" w:rsidSect="00F47C3C">
      <w:footerReference w:type="default" r:id="rId11"/>
      <w:pgSz w:w="11906" w:h="16838" w:code="9"/>
      <w:pgMar w:top="1701" w:right="1418" w:bottom="1134" w:left="1418" w:header="851" w:footer="510" w:gutter="0"/>
      <w:pgNumType w:fmt="numberInDash" w:start="2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779FB7C6" w:rsidR="00957082" w:rsidRDefault="00957082" w:rsidP="001F547D">
        <w:pPr>
          <w:pStyle w:val="a6"/>
          <w:jc w:val="center"/>
        </w:pPr>
        <w:r>
          <w:fldChar w:fldCharType="begin"/>
        </w:r>
        <w:r>
          <w:instrText>PAGE   \* MERGEFORMAT</w:instrText>
        </w:r>
        <w:r>
          <w:fldChar w:fldCharType="separate"/>
        </w:r>
        <w:r w:rsidR="00F47C3C" w:rsidRPr="00F47C3C">
          <w:rPr>
            <w:noProof/>
            <w:lang w:val="ja-JP"/>
          </w:rPr>
          <w:t>-</w:t>
        </w:r>
        <w:r w:rsidR="00F47C3C">
          <w:rPr>
            <w:noProof/>
          </w:rPr>
          <w:t xml:space="preserve"> 22 -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62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C3C"/>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0239E-2712-4F0A-8445-62394461B79E}">
  <ds:schemaRefs>
    <ds:schemaRef ds:uri="http://schemas.openxmlformats.org/officeDocument/2006/bibliography"/>
  </ds:schemaRefs>
</ds:datastoreItem>
</file>

<file path=customXml/itemProps2.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B1ACA6D-3039-4B73-AA27-1E0092C6B2D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736cf6b-2129-4b8b-aeb8-81e1ec8849f8"/>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2022-04-06T08:46:00Z</dcterms:created>
  <dcterms:modified xsi:type="dcterms:W3CDTF">2025-05-19T02:24:00Z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