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54" w:rsidRPr="00B35D71" w:rsidRDefault="001D1A4F" w:rsidP="001D1A4F">
      <w:pPr>
        <w:spacing w:afterLines="50" w:after="180"/>
        <w:ind w:leftChars="100" w:left="451" w:hangingChars="100" w:hanging="241"/>
        <w:jc w:val="center"/>
        <w:rPr>
          <w:rFonts w:ascii="ＭＳ ゴシック" w:eastAsia="ＭＳ ゴシック" w:hAnsi="ＭＳ ゴシック"/>
          <w:b/>
          <w:sz w:val="24"/>
          <w:szCs w:val="24"/>
        </w:rPr>
      </w:pPr>
      <w:r w:rsidRPr="001D1A4F">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5544938</wp:posOffset>
                </wp:positionH>
                <wp:positionV relativeFrom="paragraph">
                  <wp:posOffset>-563525</wp:posOffset>
                </wp:positionV>
                <wp:extent cx="797442" cy="1403985"/>
                <wp:effectExtent l="0" t="0" r="2222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442" cy="1403985"/>
                        </a:xfrm>
                        <a:prstGeom prst="rect">
                          <a:avLst/>
                        </a:prstGeom>
                        <a:solidFill>
                          <a:srgbClr val="FFFFFF"/>
                        </a:solidFill>
                        <a:ln w="9525">
                          <a:solidFill>
                            <a:srgbClr val="000000"/>
                          </a:solidFill>
                          <a:miter lim="800000"/>
                          <a:headEnd/>
                          <a:tailEnd/>
                        </a:ln>
                      </wps:spPr>
                      <wps:txbx>
                        <w:txbxContent>
                          <w:p w:rsidR="001D1A4F" w:rsidRDefault="001D1A4F" w:rsidP="001D1A4F">
                            <w:pPr>
                              <w:jc w:val="center"/>
                            </w:pPr>
                            <w:r>
                              <w:rPr>
                                <w:rFonts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6.6pt;margin-top:-44.35pt;width:62.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">
                <v:textbox style="mso-fit-shape-to-text:t">
                  <w:txbxContent>
                    <w:p w:rsidR="001D1A4F" w:rsidRDefault="001D1A4F" w:rsidP="001D1A4F">
                      <w:pPr>
                        <w:jc w:val="center"/>
                      </w:pPr>
                      <w:r>
                        <w:rPr>
                          <w:rFonts w:hint="eastAsia"/>
                        </w:rPr>
                        <w:t>資料３</w:t>
                      </w:r>
                    </w:p>
                  </w:txbxContent>
                </v:textbox>
              </v:shape>
            </w:pict>
          </mc:Fallback>
        </mc:AlternateContent>
      </w:r>
      <w:r w:rsidR="00DB749D" w:rsidRPr="00B35D71">
        <w:rPr>
          <w:rFonts w:ascii="ＭＳ ゴシック" w:eastAsia="ＭＳ ゴシック" w:hAnsi="ＭＳ ゴシック" w:hint="eastAsia"/>
          <w:b/>
          <w:sz w:val="24"/>
          <w:szCs w:val="24"/>
        </w:rPr>
        <w:t>御意見を伺いたい</w:t>
      </w:r>
      <w:r w:rsidR="00EE00A2" w:rsidRPr="00B35D71">
        <w:rPr>
          <w:rFonts w:ascii="ＭＳ ゴシック" w:eastAsia="ＭＳ ゴシック" w:hAnsi="ＭＳ ゴシック" w:hint="eastAsia"/>
          <w:b/>
          <w:sz w:val="24"/>
          <w:szCs w:val="24"/>
        </w:rPr>
        <w:t>事項</w:t>
      </w:r>
      <w:bookmarkStart w:id="0" w:name="_GoBack"/>
      <w:bookmarkEnd w:id="0"/>
    </w:p>
    <w:tbl>
      <w:tblPr>
        <w:tblStyle w:val="aa"/>
        <w:tblW w:w="0" w:type="auto"/>
        <w:tblInd w:w="108" w:type="dxa"/>
        <w:tblLook w:val="04A0" w:firstRow="1" w:lastRow="0" w:firstColumn="1" w:lastColumn="0" w:noHBand="0" w:noVBand="1"/>
      </w:tblPr>
      <w:tblGrid>
        <w:gridCol w:w="9781"/>
      </w:tblGrid>
      <w:tr w:rsidR="00A23117" w:rsidTr="00B35D71">
        <w:tc>
          <w:tcPr>
            <w:tcW w:w="9781" w:type="dxa"/>
          </w:tcPr>
          <w:p w:rsidR="00A23117" w:rsidRPr="00EF4E99" w:rsidRDefault="00EF4E99" w:rsidP="00B35D71">
            <w:pPr>
              <w:spacing w:afterLines="50" w:after="180" w:line="280" w:lineRule="exact"/>
              <w:ind w:firstLineChars="100" w:firstLine="221"/>
              <w:rPr>
                <w:rFonts w:ascii="ＭＳ ゴシック" w:eastAsia="ＭＳ ゴシック" w:hAnsi="ＭＳ ゴシック"/>
                <w:b/>
                <w:sz w:val="22"/>
              </w:rPr>
            </w:pPr>
            <w:r w:rsidRPr="00EF4E99">
              <w:rPr>
                <w:rFonts w:ascii="ＭＳ ゴシック" w:eastAsia="ＭＳ ゴシック" w:hAnsi="ＭＳ ゴシック" w:hint="eastAsia"/>
                <w:b/>
                <w:sz w:val="22"/>
              </w:rPr>
              <w:t>≪</w:t>
            </w:r>
            <w:r w:rsidR="00A23117" w:rsidRPr="00EF4E99">
              <w:rPr>
                <w:rFonts w:ascii="ＭＳ ゴシック" w:eastAsia="ＭＳ ゴシック" w:hAnsi="ＭＳ ゴシック" w:hint="eastAsia"/>
                <w:b/>
                <w:sz w:val="22"/>
              </w:rPr>
              <w:t>基本的考え方</w:t>
            </w:r>
            <w:r w:rsidRPr="00EF4E99">
              <w:rPr>
                <w:rFonts w:ascii="ＭＳ ゴシック" w:eastAsia="ＭＳ ゴシック" w:hAnsi="ＭＳ ゴシック" w:hint="eastAsia"/>
                <w:b/>
                <w:sz w:val="22"/>
              </w:rPr>
              <w:t>≫</w:t>
            </w:r>
          </w:p>
          <w:p w:rsidR="005B645E" w:rsidRPr="005B645E" w:rsidRDefault="005B645E" w:rsidP="00914B27">
            <w:pPr>
              <w:spacing w:afterLines="50" w:after="180"/>
              <w:ind w:leftChars="200" w:left="420"/>
              <w:rPr>
                <w:rFonts w:ascii="ＭＳ ゴシック" w:eastAsia="ＭＳ ゴシック" w:hAnsi="ＭＳ ゴシック"/>
                <w:sz w:val="22"/>
              </w:rPr>
            </w:pPr>
            <w:r>
              <w:rPr>
                <w:rFonts w:ascii="ＭＳ ゴシック" w:eastAsia="ＭＳ ゴシック" w:hAnsi="ＭＳ ゴシック" w:hint="eastAsia"/>
                <w:sz w:val="22"/>
              </w:rPr>
              <w:t>「大阪府における障がいを理由とする差別の解消に向けた取り組みについて（提言）」を踏まえ、</w:t>
            </w:r>
            <w:r w:rsidR="00EF4E99">
              <w:rPr>
                <w:rFonts w:ascii="ＭＳ ゴシック" w:eastAsia="ＭＳ ゴシック" w:hAnsi="ＭＳ ゴシック" w:hint="eastAsia"/>
                <w:sz w:val="22"/>
              </w:rPr>
              <w:t>障がい</w:t>
            </w:r>
            <w:r w:rsidRPr="006E4ECB">
              <w:rPr>
                <w:rFonts w:ascii="ＭＳ ゴシック" w:eastAsia="ＭＳ ゴシック" w:hAnsi="ＭＳ ゴシック" w:hint="eastAsia"/>
                <w:sz w:val="22"/>
              </w:rPr>
              <w:t>以外</w:t>
            </w:r>
            <w:r w:rsidR="00EF4E99">
              <w:rPr>
                <w:rFonts w:ascii="ＭＳ ゴシック" w:eastAsia="ＭＳ ゴシック" w:hAnsi="ＭＳ ゴシック" w:hint="eastAsia"/>
                <w:sz w:val="22"/>
              </w:rPr>
              <w:t>の人権課題</w:t>
            </w:r>
            <w:r w:rsidRPr="005B645E">
              <w:rPr>
                <w:rFonts w:ascii="ＭＳ ゴシック" w:eastAsia="ＭＳ ゴシック" w:hAnsi="ＭＳ ゴシック" w:hint="eastAsia"/>
                <w:sz w:val="22"/>
              </w:rPr>
              <w:t>への応用可能性について検討する。</w:t>
            </w:r>
          </w:p>
          <w:p w:rsidR="00A23117" w:rsidRPr="00EF4E99" w:rsidRDefault="00A23117" w:rsidP="00B35D71">
            <w:pPr>
              <w:spacing w:afterLines="50" w:after="180" w:line="280" w:lineRule="exact"/>
              <w:ind w:firstLineChars="100" w:firstLine="221"/>
              <w:rPr>
                <w:rFonts w:ascii="ＭＳ ゴシック" w:eastAsia="ＭＳ ゴシック" w:hAnsi="ＭＳ ゴシック"/>
                <w:b/>
                <w:sz w:val="22"/>
                <w:u w:val="single"/>
              </w:rPr>
            </w:pPr>
            <w:r w:rsidRPr="00EF4E99">
              <w:rPr>
                <w:rFonts w:ascii="ＭＳ ゴシック" w:eastAsia="ＭＳ ゴシック" w:hAnsi="ＭＳ ゴシック" w:hint="eastAsia"/>
                <w:b/>
                <w:sz w:val="22"/>
                <w:u w:val="single"/>
              </w:rPr>
              <w:t>検討対象とする分野</w:t>
            </w:r>
          </w:p>
          <w:p w:rsidR="00A23117" w:rsidRDefault="00A23117" w:rsidP="00914B27">
            <w:pPr>
              <w:spacing w:afterLines="50" w:after="180"/>
              <w:ind w:leftChars="200" w:left="420" w:firstLineChars="100" w:firstLine="220"/>
              <w:rPr>
                <w:rFonts w:ascii="ＭＳ ゴシック" w:eastAsia="ＭＳ ゴシック" w:hAnsi="ＭＳ ゴシック"/>
                <w:sz w:val="22"/>
              </w:rPr>
            </w:pPr>
            <w:r w:rsidRPr="00A23117">
              <w:rPr>
                <w:rFonts w:ascii="ＭＳ ゴシック" w:eastAsia="ＭＳ ゴシック" w:hAnsi="ＭＳ ゴシック" w:hint="eastAsia"/>
                <w:sz w:val="22"/>
              </w:rPr>
              <w:t>府民生活に深く関わる8分野</w:t>
            </w:r>
            <w:r>
              <w:rPr>
                <w:rFonts w:ascii="ＭＳ ゴシック" w:eastAsia="ＭＳ ゴシック" w:hAnsi="ＭＳ ゴシック" w:hint="eastAsia"/>
                <w:sz w:val="22"/>
              </w:rPr>
              <w:t>（</w:t>
            </w:r>
            <w:r w:rsidRPr="00A23117">
              <w:rPr>
                <w:rFonts w:ascii="ＭＳ ゴシック" w:eastAsia="ＭＳ ゴシック" w:hAnsi="ＭＳ ゴシック" w:hint="eastAsia"/>
                <w:sz w:val="22"/>
              </w:rPr>
              <w:t>①商品・サービス、②福祉サービス、③公共交通機関、公共的施設・サービス等、④住宅、⑤情報・コミュニケーション、⑥教育、⑦医療、⑧雇用</w:t>
            </w:r>
            <w:r>
              <w:rPr>
                <w:rFonts w:ascii="ＭＳ ゴシック" w:eastAsia="ＭＳ ゴシック" w:hAnsi="ＭＳ ゴシック" w:hint="eastAsia"/>
                <w:sz w:val="22"/>
              </w:rPr>
              <w:t>）</w:t>
            </w:r>
          </w:p>
          <w:p w:rsidR="00A23117" w:rsidRPr="00EF4E99" w:rsidRDefault="00A23117" w:rsidP="00680081">
            <w:pPr>
              <w:spacing w:afterLines="50" w:after="180" w:line="280" w:lineRule="exact"/>
              <w:ind w:firstLineChars="100" w:firstLine="221"/>
              <w:rPr>
                <w:rFonts w:ascii="ＭＳ ゴシック" w:eastAsia="ＭＳ ゴシック" w:hAnsi="ＭＳ ゴシック"/>
                <w:b/>
                <w:sz w:val="22"/>
                <w:u w:val="single"/>
              </w:rPr>
            </w:pPr>
            <w:r w:rsidRPr="00EF4E99">
              <w:rPr>
                <w:rFonts w:ascii="ＭＳ ゴシック" w:eastAsia="ＭＳ ゴシック" w:hAnsi="ＭＳ ゴシック" w:hint="eastAsia"/>
                <w:b/>
                <w:sz w:val="22"/>
                <w:u w:val="single"/>
              </w:rPr>
              <w:t>検討対象とする事例（ガイドラインで取り扱う差別）</w:t>
            </w:r>
          </w:p>
          <w:p w:rsidR="00680081" w:rsidRDefault="00680081" w:rsidP="00914B27">
            <w:pPr>
              <w:spacing w:afterLines="50" w:after="180"/>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23117" w:rsidRPr="00A23117">
              <w:rPr>
                <w:rFonts w:ascii="ＭＳ ゴシック" w:eastAsia="ＭＳ ゴシック" w:hAnsi="ＭＳ ゴシック" w:hint="eastAsia"/>
                <w:sz w:val="22"/>
              </w:rPr>
              <w:t>不当な差別的取扱い</w:t>
            </w:r>
            <w:r>
              <w:rPr>
                <w:rFonts w:ascii="ＭＳ ゴシック" w:eastAsia="ＭＳ ゴシック" w:hAnsi="ＭＳ ゴシック" w:hint="eastAsia"/>
                <w:sz w:val="22"/>
              </w:rPr>
              <w:t>：特定の属性を理由として、正当な理由なく、サービスの提供を拒否したり、制限したり、条件を付けたりすること。</w:t>
            </w:r>
          </w:p>
          <w:p w:rsidR="00A23117" w:rsidRDefault="00680081" w:rsidP="00914B27">
            <w:pPr>
              <w:spacing w:afterLines="50" w:after="180"/>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23117" w:rsidRPr="00A23117">
              <w:rPr>
                <w:rFonts w:ascii="ＭＳ ゴシック" w:eastAsia="ＭＳ ゴシック" w:hAnsi="ＭＳ ゴシック" w:hint="eastAsia"/>
                <w:sz w:val="22"/>
              </w:rPr>
              <w:t>合理的配慮の不提供</w:t>
            </w:r>
            <w:r>
              <w:rPr>
                <w:rFonts w:ascii="ＭＳ ゴシック" w:eastAsia="ＭＳ ゴシック" w:hAnsi="ＭＳ ゴシック" w:hint="eastAsia"/>
                <w:sz w:val="22"/>
              </w:rPr>
              <w:t>：特定の属性を有する者から何らかの配慮を求める意思の表明があった場合に、負担になりすぎない範囲で、社会的障壁を取り除くために必要で合理的な</w:t>
            </w:r>
            <w:r w:rsidR="00B35D71">
              <w:rPr>
                <w:rFonts w:ascii="ＭＳ ゴシック" w:eastAsia="ＭＳ ゴシック" w:hAnsi="ＭＳ ゴシック" w:hint="eastAsia"/>
                <w:sz w:val="22"/>
              </w:rPr>
              <w:t>配慮を行わないことで、当該者の権利利益を侵害すること。</w:t>
            </w:r>
          </w:p>
          <w:p w:rsidR="00A23117" w:rsidRPr="00A23117" w:rsidRDefault="00B35D71" w:rsidP="00914B27">
            <w:pPr>
              <w:spacing w:afterLines="50" w:after="180"/>
              <w:ind w:leftChars="200" w:left="640" w:hangingChars="100" w:hanging="220"/>
              <w:rPr>
                <w:rFonts w:ascii="ＭＳ ゴシック" w:eastAsia="ＭＳ ゴシック" w:hAnsi="ＭＳ ゴシック"/>
                <w:sz w:val="22"/>
              </w:rPr>
            </w:pPr>
            <w:r w:rsidRPr="00B35D71">
              <w:rPr>
                <w:rFonts w:ascii="ＭＳ ゴシック" w:eastAsia="ＭＳ ゴシック" w:hAnsi="ＭＳ ゴシック" w:hint="eastAsia"/>
                <w:sz w:val="22"/>
              </w:rPr>
              <w:t>※</w:t>
            </w:r>
            <w:r w:rsidR="00A23117">
              <w:rPr>
                <w:rFonts w:ascii="ＭＳ ゴシック" w:eastAsia="ＭＳ ゴシック" w:hAnsi="ＭＳ ゴシック" w:hint="eastAsia"/>
                <w:sz w:val="22"/>
              </w:rPr>
              <w:t>私人の行為等・虐待</w:t>
            </w:r>
            <w:r w:rsidR="00680081">
              <w:rPr>
                <w:rFonts w:ascii="ＭＳ ゴシック" w:eastAsia="ＭＳ ゴシック" w:hAnsi="ＭＳ ゴシック" w:hint="eastAsia"/>
                <w:sz w:val="22"/>
              </w:rPr>
              <w:t>等</w:t>
            </w:r>
            <w:r w:rsidR="00A23117">
              <w:rPr>
                <w:rFonts w:ascii="ＭＳ ゴシック" w:eastAsia="ＭＳ ゴシック" w:hAnsi="ＭＳ ゴシック" w:hint="eastAsia"/>
                <w:sz w:val="22"/>
              </w:rPr>
              <w:t>・制度やサービスのあり方の見直し</w:t>
            </w:r>
            <w:r w:rsidR="00680081">
              <w:rPr>
                <w:rFonts w:ascii="ＭＳ ゴシック" w:eastAsia="ＭＳ ゴシック" w:hAnsi="ＭＳ ゴシック" w:hint="eastAsia"/>
                <w:sz w:val="22"/>
              </w:rPr>
              <w:t>が必要と考えられるものはガイドラインの対象外とする。なお、私人の行為等については啓発を通じて対応する。</w:t>
            </w:r>
          </w:p>
        </w:tc>
      </w:tr>
    </w:tbl>
    <w:p w:rsidR="00C136D5" w:rsidRDefault="00C136D5" w:rsidP="00DC5629">
      <w:pPr>
        <w:spacing w:afterLines="50" w:after="180" w:line="240" w:lineRule="exact"/>
        <w:rPr>
          <w:rFonts w:ascii="ＭＳ ゴシック" w:eastAsia="ＭＳ ゴシック" w:hAnsi="ＭＳ ゴシック"/>
          <w:sz w:val="22"/>
        </w:rPr>
      </w:pPr>
    </w:p>
    <w:p w:rsidR="00B468E2" w:rsidRDefault="005B645E" w:rsidP="00DC5629">
      <w:pPr>
        <w:spacing w:afterLines="50" w:after="180" w:line="240" w:lineRule="exact"/>
        <w:rPr>
          <w:rFonts w:ascii="ＭＳ ゴシック" w:eastAsia="ＭＳ ゴシック" w:hAnsi="ＭＳ ゴシック"/>
          <w:sz w:val="22"/>
        </w:rPr>
      </w:pPr>
      <w:r w:rsidRPr="005B645E">
        <w:rPr>
          <w:rFonts w:ascii="ＭＳ ゴシック" w:eastAsia="ＭＳ ゴシック" w:hAnsi="ＭＳ ゴシック" w:hint="eastAsia"/>
          <w:sz w:val="22"/>
        </w:rPr>
        <w:t>第２回有識者会議で、</w:t>
      </w:r>
      <w:r>
        <w:rPr>
          <w:rFonts w:ascii="ＭＳ ゴシック" w:eastAsia="ＭＳ ゴシック" w:hAnsi="ＭＳ ゴシック" w:hint="eastAsia"/>
          <w:sz w:val="22"/>
        </w:rPr>
        <w:t>御意見を伺いたい事項は以下のとおりです。</w:t>
      </w:r>
    </w:p>
    <w:p w:rsidR="00C136D5" w:rsidRDefault="00C136D5" w:rsidP="00DC5629">
      <w:pPr>
        <w:spacing w:afterLines="50" w:after="180" w:line="240" w:lineRule="exact"/>
        <w:rPr>
          <w:rFonts w:ascii="ＭＳ ゴシック" w:eastAsia="ＭＳ ゴシック" w:hAnsi="ＭＳ ゴシック"/>
          <w:sz w:val="22"/>
        </w:rPr>
      </w:pPr>
    </w:p>
    <w:p w:rsidR="00914B27" w:rsidRPr="00680081" w:rsidRDefault="00914B27" w:rsidP="00914B27">
      <w:pPr>
        <w:spacing w:afterLines="50" w:after="180"/>
        <w:rPr>
          <w:rFonts w:ascii="ＭＳ ゴシック" w:eastAsia="ＭＳ ゴシック" w:hAnsi="ＭＳ ゴシック"/>
          <w:b/>
          <w:sz w:val="22"/>
          <w:u w:val="single"/>
        </w:rPr>
      </w:pPr>
      <w:r>
        <w:rPr>
          <w:rFonts w:ascii="ＭＳ ゴシック" w:eastAsia="ＭＳ ゴシック" w:hAnsi="ＭＳ ゴシック" w:hint="eastAsia"/>
          <w:b/>
          <w:sz w:val="22"/>
        </w:rPr>
        <w:t>（１</w:t>
      </w:r>
      <w:r w:rsidRPr="00680081">
        <w:rPr>
          <w:rFonts w:ascii="ＭＳ ゴシック" w:eastAsia="ＭＳ ゴシック" w:hAnsi="ＭＳ ゴシック" w:hint="eastAsia"/>
          <w:b/>
          <w:sz w:val="22"/>
        </w:rPr>
        <w:t>）対象にする人権課題について</w:t>
      </w:r>
    </w:p>
    <w:p w:rsidR="00914B27" w:rsidRPr="00680081" w:rsidRDefault="00914B27" w:rsidP="00914B27">
      <w:pPr>
        <w:spacing w:afterLines="50" w:after="180"/>
        <w:ind w:leftChars="248" w:left="521" w:firstLineChars="100" w:firstLine="220"/>
        <w:rPr>
          <w:rFonts w:ascii="ＭＳ ゴシック" w:eastAsia="ＭＳ ゴシック" w:hAnsi="ＭＳ ゴシック"/>
          <w:sz w:val="22"/>
        </w:rPr>
      </w:pPr>
      <w:r>
        <w:rPr>
          <w:rFonts w:ascii="ＭＳ ゴシック" w:eastAsia="ＭＳ ゴシック" w:hAnsi="ＭＳ ゴシック" w:hint="eastAsia"/>
          <w:sz w:val="22"/>
        </w:rPr>
        <w:t>障がい以外のあらゆる人権課題を包括的に対象とする場合の</w:t>
      </w:r>
      <w:r w:rsidRPr="00EF4E99">
        <w:rPr>
          <w:rFonts w:ascii="ＭＳ ゴシック" w:eastAsia="ＭＳ ゴシック" w:hAnsi="ＭＳ ゴシック" w:hint="eastAsia"/>
          <w:sz w:val="22"/>
        </w:rPr>
        <w:t>課題・考慮すべき事項は何か。</w:t>
      </w:r>
    </w:p>
    <w:p w:rsidR="00914B27" w:rsidRPr="00680081" w:rsidRDefault="00914B27" w:rsidP="00914B27">
      <w:pPr>
        <w:spacing w:afterLines="50" w:after="180"/>
        <w:rPr>
          <w:rFonts w:ascii="ＭＳ ゴシック" w:eastAsia="ＭＳ ゴシック" w:hAnsi="ＭＳ ゴシック"/>
          <w:b/>
          <w:sz w:val="22"/>
        </w:rPr>
      </w:pPr>
      <w:r>
        <w:rPr>
          <w:rFonts w:ascii="ＭＳ ゴシック" w:eastAsia="ＭＳ ゴシック" w:hAnsi="ＭＳ ゴシック" w:hint="eastAsia"/>
          <w:b/>
          <w:sz w:val="22"/>
        </w:rPr>
        <w:t>（２</w:t>
      </w:r>
      <w:r w:rsidRPr="00680081">
        <w:rPr>
          <w:rFonts w:ascii="ＭＳ ゴシック" w:eastAsia="ＭＳ ゴシック" w:hAnsi="ＭＳ ゴシック" w:hint="eastAsia"/>
          <w:b/>
          <w:sz w:val="22"/>
        </w:rPr>
        <w:t>）法的根拠について</w:t>
      </w:r>
    </w:p>
    <w:p w:rsidR="00914B27" w:rsidRDefault="00914B27" w:rsidP="00914B27">
      <w:pPr>
        <w:spacing w:afterLines="50" w:after="180"/>
        <w:ind w:leftChars="248" w:left="521"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ガイドラインや相談・紛争の解決の仕組みを構築するにあたり、その法的根拠をどう考えるべきか。</w:t>
      </w:r>
      <w:r w:rsidRPr="008253BB">
        <w:rPr>
          <w:rFonts w:ascii="ＭＳ ゴシック" w:eastAsia="ＭＳ ゴシック" w:hAnsi="ＭＳ ゴシック" w:hint="eastAsia"/>
          <w:sz w:val="22"/>
        </w:rPr>
        <w:t>根拠としての条例の必要性についてどのように考えるか。</w:t>
      </w:r>
    </w:p>
    <w:p w:rsidR="00914B27" w:rsidRPr="00680081" w:rsidRDefault="00914B27" w:rsidP="00914B27">
      <w:pPr>
        <w:spacing w:afterLines="50" w:after="180"/>
        <w:rPr>
          <w:rFonts w:ascii="ＭＳ ゴシック" w:eastAsia="ＭＳ ゴシック" w:hAnsi="ＭＳ ゴシック"/>
          <w:b/>
          <w:sz w:val="22"/>
        </w:rPr>
      </w:pPr>
      <w:r>
        <w:rPr>
          <w:rFonts w:ascii="ＭＳ ゴシック" w:eastAsia="ＭＳ ゴシック" w:hAnsi="ＭＳ ゴシック" w:hint="eastAsia"/>
          <w:b/>
          <w:sz w:val="22"/>
        </w:rPr>
        <w:t>（３</w:t>
      </w:r>
      <w:r w:rsidRPr="00680081">
        <w:rPr>
          <w:rFonts w:ascii="ＭＳ ゴシック" w:eastAsia="ＭＳ ゴシック" w:hAnsi="ＭＳ ゴシック" w:hint="eastAsia"/>
          <w:b/>
          <w:sz w:val="22"/>
        </w:rPr>
        <w:t>）救済のあり方について</w:t>
      </w:r>
    </w:p>
    <w:p w:rsidR="00914B27" w:rsidRDefault="00914B27" w:rsidP="00914B27">
      <w:pPr>
        <w:spacing w:afterLines="50" w:after="180"/>
        <w:ind w:leftChars="248" w:left="521"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ガイドラインを活用した相談、紛争の防止・解決に係る救済のあり方として、どのような仕組みが考えられるか</w:t>
      </w:r>
      <w:r w:rsidRPr="008253BB">
        <w:rPr>
          <w:rFonts w:ascii="ＭＳ ゴシック" w:eastAsia="ＭＳ ゴシック" w:hAnsi="ＭＳ ゴシック" w:hint="eastAsia"/>
          <w:sz w:val="22"/>
        </w:rPr>
        <w:t>。</w:t>
      </w:r>
    </w:p>
    <w:p w:rsidR="00EF4E99" w:rsidRPr="00680081" w:rsidRDefault="00914B27" w:rsidP="00680081">
      <w:pPr>
        <w:spacing w:afterLines="50" w:after="180"/>
        <w:rPr>
          <w:rFonts w:ascii="ＭＳ ゴシック" w:eastAsia="ＭＳ ゴシック" w:hAnsi="ＭＳ ゴシック"/>
          <w:b/>
          <w:sz w:val="22"/>
        </w:rPr>
      </w:pPr>
      <w:r>
        <w:rPr>
          <w:rFonts w:ascii="ＭＳ ゴシック" w:eastAsia="ＭＳ ゴシック" w:hAnsi="ＭＳ ゴシック" w:hint="eastAsia"/>
          <w:b/>
          <w:sz w:val="22"/>
        </w:rPr>
        <w:t>（４</w:t>
      </w:r>
      <w:r w:rsidR="00EF4E99" w:rsidRPr="00680081">
        <w:rPr>
          <w:rFonts w:ascii="ＭＳ ゴシック" w:eastAsia="ＭＳ ゴシック" w:hAnsi="ＭＳ ゴシック" w:hint="eastAsia"/>
          <w:b/>
          <w:sz w:val="22"/>
        </w:rPr>
        <w:t>）</w:t>
      </w:r>
      <w:r>
        <w:rPr>
          <w:rFonts w:ascii="ＭＳ ゴシック" w:eastAsia="ＭＳ ゴシック" w:hAnsi="ＭＳ ゴシック" w:hint="eastAsia"/>
          <w:b/>
          <w:sz w:val="22"/>
        </w:rPr>
        <w:t>その他</w:t>
      </w:r>
    </w:p>
    <w:p w:rsidR="00914B27" w:rsidRPr="00680081" w:rsidRDefault="00C5161A" w:rsidP="00DC5629">
      <w:pPr>
        <w:spacing w:afterLines="50" w:after="180"/>
        <w:ind w:leftChars="248" w:left="52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14B27">
        <w:rPr>
          <w:rFonts w:ascii="ＭＳ ゴシック" w:eastAsia="ＭＳ ゴシック" w:hAnsi="ＭＳ ゴシック" w:hint="eastAsia"/>
          <w:sz w:val="22"/>
        </w:rPr>
        <w:t xml:space="preserve">　障がいを理由とする差別の解消に向けた取り組みを、</w:t>
      </w:r>
      <w:r w:rsidR="00B35D71">
        <w:rPr>
          <w:rFonts w:ascii="ＭＳ ゴシック" w:eastAsia="ＭＳ ゴシック" w:hAnsi="ＭＳ ゴシック" w:hint="eastAsia"/>
          <w:sz w:val="22"/>
        </w:rPr>
        <w:t>障がい</w:t>
      </w:r>
      <w:r w:rsidR="005B645E">
        <w:rPr>
          <w:rFonts w:ascii="ＭＳ ゴシック" w:eastAsia="ＭＳ ゴシック" w:hAnsi="ＭＳ ゴシック" w:hint="eastAsia"/>
          <w:sz w:val="22"/>
        </w:rPr>
        <w:t>以外の</w:t>
      </w:r>
      <w:r w:rsidR="00B35D71">
        <w:rPr>
          <w:rFonts w:ascii="ＭＳ ゴシック" w:eastAsia="ＭＳ ゴシック" w:hAnsi="ＭＳ ゴシック" w:hint="eastAsia"/>
          <w:sz w:val="22"/>
        </w:rPr>
        <w:t>人権課題</w:t>
      </w:r>
      <w:r w:rsidR="00914B27">
        <w:rPr>
          <w:rFonts w:ascii="ＭＳ ゴシック" w:eastAsia="ＭＳ ゴシック" w:hAnsi="ＭＳ ゴシック" w:hint="eastAsia"/>
          <w:sz w:val="22"/>
        </w:rPr>
        <w:t>に応用する場合の</w:t>
      </w:r>
      <w:r w:rsidR="00D520BA">
        <w:rPr>
          <w:rFonts w:ascii="ＭＳ ゴシック" w:eastAsia="ＭＳ ゴシック" w:hAnsi="ＭＳ ゴシック" w:hint="eastAsia"/>
          <w:sz w:val="22"/>
        </w:rPr>
        <w:t>課題・考慮すべき事項は何か</w:t>
      </w:r>
      <w:r w:rsidR="00727F3A">
        <w:rPr>
          <w:rFonts w:ascii="ＭＳ ゴシック" w:eastAsia="ＭＳ ゴシック" w:hAnsi="ＭＳ ゴシック" w:hint="eastAsia"/>
          <w:sz w:val="22"/>
        </w:rPr>
        <w:t>。</w:t>
      </w:r>
    </w:p>
    <w:sectPr w:rsidR="00914B27" w:rsidRPr="00680081" w:rsidSect="00B35D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4D" w:rsidRDefault="0035244D" w:rsidP="00200285">
      <w:r>
        <w:separator/>
      </w:r>
    </w:p>
  </w:endnote>
  <w:endnote w:type="continuationSeparator" w:id="0">
    <w:p w:rsidR="0035244D" w:rsidRDefault="0035244D" w:rsidP="0020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4D" w:rsidRDefault="0035244D" w:rsidP="00200285">
      <w:r>
        <w:separator/>
      </w:r>
    </w:p>
  </w:footnote>
  <w:footnote w:type="continuationSeparator" w:id="0">
    <w:p w:rsidR="0035244D" w:rsidRDefault="0035244D" w:rsidP="00200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01"/>
    <w:rsid w:val="0001711D"/>
    <w:rsid w:val="00150314"/>
    <w:rsid w:val="001D1A4F"/>
    <w:rsid w:val="001F561F"/>
    <w:rsid w:val="00200285"/>
    <w:rsid w:val="002248FC"/>
    <w:rsid w:val="00260706"/>
    <w:rsid w:val="002D51AF"/>
    <w:rsid w:val="00335CE7"/>
    <w:rsid w:val="003443A0"/>
    <w:rsid w:val="0035244D"/>
    <w:rsid w:val="00363415"/>
    <w:rsid w:val="00481F8E"/>
    <w:rsid w:val="00497C2A"/>
    <w:rsid w:val="004B287B"/>
    <w:rsid w:val="00510105"/>
    <w:rsid w:val="0054423A"/>
    <w:rsid w:val="005829DE"/>
    <w:rsid w:val="005B645E"/>
    <w:rsid w:val="00600A91"/>
    <w:rsid w:val="00680081"/>
    <w:rsid w:val="006E4ECB"/>
    <w:rsid w:val="00727F3A"/>
    <w:rsid w:val="007D60F4"/>
    <w:rsid w:val="008241EB"/>
    <w:rsid w:val="008253BB"/>
    <w:rsid w:val="008509AF"/>
    <w:rsid w:val="008E6A97"/>
    <w:rsid w:val="00914B27"/>
    <w:rsid w:val="00972A85"/>
    <w:rsid w:val="009E2883"/>
    <w:rsid w:val="00A23117"/>
    <w:rsid w:val="00A43354"/>
    <w:rsid w:val="00A673D1"/>
    <w:rsid w:val="00AD4201"/>
    <w:rsid w:val="00AE0953"/>
    <w:rsid w:val="00B35D71"/>
    <w:rsid w:val="00B468E2"/>
    <w:rsid w:val="00C136D5"/>
    <w:rsid w:val="00C40CA5"/>
    <w:rsid w:val="00C5161A"/>
    <w:rsid w:val="00D04833"/>
    <w:rsid w:val="00D34586"/>
    <w:rsid w:val="00D520BA"/>
    <w:rsid w:val="00D56D97"/>
    <w:rsid w:val="00DB749D"/>
    <w:rsid w:val="00DC5629"/>
    <w:rsid w:val="00E63FAB"/>
    <w:rsid w:val="00E94241"/>
    <w:rsid w:val="00EC096A"/>
    <w:rsid w:val="00EE00A2"/>
    <w:rsid w:val="00EF4E99"/>
    <w:rsid w:val="00F359B0"/>
    <w:rsid w:val="00F842D3"/>
    <w:rsid w:val="00FD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85"/>
    <w:pPr>
      <w:tabs>
        <w:tab w:val="center" w:pos="4252"/>
        <w:tab w:val="right" w:pos="8504"/>
      </w:tabs>
      <w:snapToGrid w:val="0"/>
    </w:pPr>
  </w:style>
  <w:style w:type="character" w:customStyle="1" w:styleId="a4">
    <w:name w:val="ヘッダー (文字)"/>
    <w:basedOn w:val="a0"/>
    <w:link w:val="a3"/>
    <w:uiPriority w:val="99"/>
    <w:rsid w:val="00200285"/>
  </w:style>
  <w:style w:type="paragraph" w:styleId="a5">
    <w:name w:val="footer"/>
    <w:basedOn w:val="a"/>
    <w:link w:val="a6"/>
    <w:uiPriority w:val="99"/>
    <w:unhideWhenUsed/>
    <w:rsid w:val="00200285"/>
    <w:pPr>
      <w:tabs>
        <w:tab w:val="center" w:pos="4252"/>
        <w:tab w:val="right" w:pos="8504"/>
      </w:tabs>
      <w:snapToGrid w:val="0"/>
    </w:pPr>
  </w:style>
  <w:style w:type="character" w:customStyle="1" w:styleId="a6">
    <w:name w:val="フッター (文字)"/>
    <w:basedOn w:val="a0"/>
    <w:link w:val="a5"/>
    <w:uiPriority w:val="99"/>
    <w:rsid w:val="00200285"/>
  </w:style>
  <w:style w:type="paragraph" w:styleId="a7">
    <w:name w:val="footnote text"/>
    <w:basedOn w:val="a"/>
    <w:link w:val="a8"/>
    <w:uiPriority w:val="99"/>
    <w:semiHidden/>
    <w:unhideWhenUsed/>
    <w:rsid w:val="00EC096A"/>
    <w:pPr>
      <w:snapToGrid w:val="0"/>
      <w:jc w:val="left"/>
    </w:pPr>
  </w:style>
  <w:style w:type="character" w:customStyle="1" w:styleId="a8">
    <w:name w:val="脚注文字列 (文字)"/>
    <w:basedOn w:val="a0"/>
    <w:link w:val="a7"/>
    <w:uiPriority w:val="99"/>
    <w:semiHidden/>
    <w:rsid w:val="00EC096A"/>
  </w:style>
  <w:style w:type="character" w:styleId="a9">
    <w:name w:val="footnote reference"/>
    <w:basedOn w:val="a0"/>
    <w:uiPriority w:val="99"/>
    <w:semiHidden/>
    <w:unhideWhenUsed/>
    <w:rsid w:val="00EC096A"/>
    <w:rPr>
      <w:vertAlign w:val="superscript"/>
    </w:rPr>
  </w:style>
  <w:style w:type="table" w:styleId="aa">
    <w:name w:val="Table Grid"/>
    <w:basedOn w:val="a1"/>
    <w:uiPriority w:val="59"/>
    <w:rsid w:val="00A23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D1A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1A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85"/>
    <w:pPr>
      <w:tabs>
        <w:tab w:val="center" w:pos="4252"/>
        <w:tab w:val="right" w:pos="8504"/>
      </w:tabs>
      <w:snapToGrid w:val="0"/>
    </w:pPr>
  </w:style>
  <w:style w:type="character" w:customStyle="1" w:styleId="a4">
    <w:name w:val="ヘッダー (文字)"/>
    <w:basedOn w:val="a0"/>
    <w:link w:val="a3"/>
    <w:uiPriority w:val="99"/>
    <w:rsid w:val="00200285"/>
  </w:style>
  <w:style w:type="paragraph" w:styleId="a5">
    <w:name w:val="footer"/>
    <w:basedOn w:val="a"/>
    <w:link w:val="a6"/>
    <w:uiPriority w:val="99"/>
    <w:unhideWhenUsed/>
    <w:rsid w:val="00200285"/>
    <w:pPr>
      <w:tabs>
        <w:tab w:val="center" w:pos="4252"/>
        <w:tab w:val="right" w:pos="8504"/>
      </w:tabs>
      <w:snapToGrid w:val="0"/>
    </w:pPr>
  </w:style>
  <w:style w:type="character" w:customStyle="1" w:styleId="a6">
    <w:name w:val="フッター (文字)"/>
    <w:basedOn w:val="a0"/>
    <w:link w:val="a5"/>
    <w:uiPriority w:val="99"/>
    <w:rsid w:val="00200285"/>
  </w:style>
  <w:style w:type="paragraph" w:styleId="a7">
    <w:name w:val="footnote text"/>
    <w:basedOn w:val="a"/>
    <w:link w:val="a8"/>
    <w:uiPriority w:val="99"/>
    <w:semiHidden/>
    <w:unhideWhenUsed/>
    <w:rsid w:val="00EC096A"/>
    <w:pPr>
      <w:snapToGrid w:val="0"/>
      <w:jc w:val="left"/>
    </w:pPr>
  </w:style>
  <w:style w:type="character" w:customStyle="1" w:styleId="a8">
    <w:name w:val="脚注文字列 (文字)"/>
    <w:basedOn w:val="a0"/>
    <w:link w:val="a7"/>
    <w:uiPriority w:val="99"/>
    <w:semiHidden/>
    <w:rsid w:val="00EC096A"/>
  </w:style>
  <w:style w:type="character" w:styleId="a9">
    <w:name w:val="footnote reference"/>
    <w:basedOn w:val="a0"/>
    <w:uiPriority w:val="99"/>
    <w:semiHidden/>
    <w:unhideWhenUsed/>
    <w:rsid w:val="00EC096A"/>
    <w:rPr>
      <w:vertAlign w:val="superscript"/>
    </w:rPr>
  </w:style>
  <w:style w:type="table" w:styleId="aa">
    <w:name w:val="Table Grid"/>
    <w:basedOn w:val="a1"/>
    <w:uiPriority w:val="59"/>
    <w:rsid w:val="00A23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D1A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1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AEF4-1DC5-4A4E-A1F9-06DC7359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2014-10-21T09:57:00Z</cp:lastPrinted>
  <dcterms:created xsi:type="dcterms:W3CDTF">2014-10-23T00:35:00Z</dcterms:created>
  <dcterms:modified xsi:type="dcterms:W3CDTF">2014-10-23T00:55:00Z</dcterms:modified>
</cp:coreProperties>
</file>