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13" w:rsidRPr="002175D7" w:rsidRDefault="0007335C" w:rsidP="0007335C">
      <w:pPr>
        <w:spacing w:afterLines="100" w:after="360"/>
        <w:ind w:left="161" w:hangingChars="67" w:hanging="161"/>
        <w:jc w:val="center"/>
        <w:rPr>
          <w:sz w:val="24"/>
          <w:szCs w:val="23"/>
        </w:rPr>
      </w:pPr>
      <w:r w:rsidRPr="0007335C">
        <w:rPr>
          <w:noProof/>
          <w:sz w:val="24"/>
          <w:szCs w:val="23"/>
        </w:rPr>
        <mc:AlternateContent>
          <mc:Choice Requires="wps">
            <w:drawing>
              <wp:anchor distT="0" distB="0" distL="114300" distR="114300" simplePos="0" relativeHeight="251659264" behindDoc="0" locked="0" layoutInCell="1" allowOverlap="1" wp14:editId="36B11C9B">
                <wp:simplePos x="0" y="0"/>
                <wp:positionH relativeFrom="column">
                  <wp:posOffset>5063490</wp:posOffset>
                </wp:positionH>
                <wp:positionV relativeFrom="paragraph">
                  <wp:posOffset>-822325</wp:posOffset>
                </wp:positionV>
                <wp:extent cx="7810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solidFill>
                          <a:srgbClr val="FFFFFF"/>
                        </a:solidFill>
                        <a:ln w="9525">
                          <a:solidFill>
                            <a:srgbClr val="000000"/>
                          </a:solidFill>
                          <a:miter lim="800000"/>
                          <a:headEnd/>
                          <a:tailEnd/>
                        </a:ln>
                      </wps:spPr>
                      <wps:txbx>
                        <w:txbxContent>
                          <w:p w:rsidR="0007335C" w:rsidRDefault="0007335C" w:rsidP="0007335C">
                            <w:pPr>
                              <w:jc w:val="center"/>
                            </w:pPr>
                            <w:r>
                              <w:rPr>
                                <w:rFonts w:hint="eastAsia"/>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7pt;margin-top:-64.75pt;width: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">
                <v:textbox style="mso-fit-shape-to-text:t">
                  <w:txbxContent>
                    <w:p w:rsidR="0007335C" w:rsidRDefault="0007335C" w:rsidP="0007335C">
                      <w:pPr>
                        <w:jc w:val="center"/>
                      </w:pPr>
                      <w:r>
                        <w:rPr>
                          <w:rFonts w:hint="eastAsia"/>
                        </w:rPr>
                        <w:t>資料１</w:t>
                      </w:r>
                    </w:p>
                  </w:txbxContent>
                </v:textbox>
              </v:shape>
            </w:pict>
          </mc:Fallback>
        </mc:AlternateContent>
      </w:r>
      <w:r w:rsidR="00204413" w:rsidRPr="002175D7">
        <w:rPr>
          <w:rFonts w:hint="eastAsia"/>
          <w:sz w:val="24"/>
          <w:szCs w:val="23"/>
        </w:rPr>
        <w:t>第</w:t>
      </w:r>
      <w:r w:rsidR="00204413" w:rsidRPr="002175D7">
        <w:rPr>
          <w:rFonts w:hint="eastAsia"/>
          <w:sz w:val="24"/>
          <w:szCs w:val="23"/>
        </w:rPr>
        <w:t>1</w:t>
      </w:r>
      <w:r w:rsidR="00124984" w:rsidRPr="002175D7">
        <w:rPr>
          <w:rFonts w:hint="eastAsia"/>
          <w:sz w:val="24"/>
          <w:szCs w:val="23"/>
        </w:rPr>
        <w:t>回</w:t>
      </w:r>
      <w:r w:rsidR="00124984" w:rsidRPr="002175D7">
        <w:rPr>
          <w:rFonts w:hint="eastAsia"/>
          <w:sz w:val="24"/>
          <w:szCs w:val="23"/>
        </w:rPr>
        <w:t xml:space="preserve"> </w:t>
      </w:r>
      <w:r w:rsidR="00204413" w:rsidRPr="002175D7">
        <w:rPr>
          <w:rFonts w:hint="eastAsia"/>
          <w:sz w:val="24"/>
          <w:szCs w:val="23"/>
        </w:rPr>
        <w:t>大阪府差別解消に関する有識者会議</w:t>
      </w:r>
      <w:r w:rsidR="00124984" w:rsidRPr="002175D7">
        <w:rPr>
          <w:rFonts w:hint="eastAsia"/>
          <w:sz w:val="24"/>
          <w:szCs w:val="23"/>
        </w:rPr>
        <w:t xml:space="preserve"> </w:t>
      </w:r>
      <w:r w:rsidR="00204413" w:rsidRPr="002175D7">
        <w:rPr>
          <w:rFonts w:hint="eastAsia"/>
          <w:sz w:val="24"/>
          <w:szCs w:val="23"/>
        </w:rPr>
        <w:t>における主な意見</w:t>
      </w:r>
      <w:bookmarkStart w:id="0" w:name="_GoBack"/>
      <w:bookmarkEnd w:id="0"/>
    </w:p>
    <w:tbl>
      <w:tblPr>
        <w:tblStyle w:val="a3"/>
        <w:tblW w:w="0" w:type="auto"/>
        <w:tblInd w:w="1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79"/>
      </w:tblGrid>
      <w:tr w:rsidR="00FD083C" w:rsidRPr="002175D7" w:rsidTr="00EB0CDD">
        <w:tc>
          <w:tcPr>
            <w:tcW w:w="9944" w:type="dxa"/>
          </w:tcPr>
          <w:p w:rsidR="00EB0CDD" w:rsidRPr="002175D7" w:rsidRDefault="00EB0CDD" w:rsidP="00EB0CDD">
            <w:pPr>
              <w:rPr>
                <w:sz w:val="24"/>
                <w:szCs w:val="23"/>
              </w:rPr>
            </w:pPr>
            <w:r w:rsidRPr="002175D7">
              <w:rPr>
                <w:rFonts w:hint="eastAsia"/>
                <w:sz w:val="24"/>
                <w:szCs w:val="23"/>
              </w:rPr>
              <w:t>≪情報提供≫</w:t>
            </w:r>
          </w:p>
          <w:p w:rsidR="00FA242C" w:rsidRPr="002175D7" w:rsidRDefault="00FA242C" w:rsidP="002175D7">
            <w:pPr>
              <w:ind w:firstLineChars="50" w:firstLine="120"/>
              <w:rPr>
                <w:sz w:val="24"/>
                <w:szCs w:val="23"/>
              </w:rPr>
            </w:pPr>
            <w:r w:rsidRPr="002175D7">
              <w:rPr>
                <w:rFonts w:hint="eastAsia"/>
                <w:sz w:val="24"/>
                <w:szCs w:val="23"/>
              </w:rPr>
              <w:t>○障害者差別解消法の考え方を他の人権課題に応用する場合の論点</w:t>
            </w:r>
          </w:p>
          <w:p w:rsidR="00EB0CDD" w:rsidRPr="002175D7" w:rsidRDefault="00EB0CDD" w:rsidP="002175D7">
            <w:pPr>
              <w:ind w:firstLineChars="50" w:firstLine="120"/>
              <w:rPr>
                <w:sz w:val="24"/>
                <w:szCs w:val="23"/>
              </w:rPr>
            </w:pPr>
            <w:r w:rsidRPr="002175D7">
              <w:rPr>
                <w:rFonts w:hint="eastAsia"/>
                <w:sz w:val="24"/>
                <w:szCs w:val="23"/>
              </w:rPr>
              <w:t>○障がい者以外の</w:t>
            </w:r>
            <w:r w:rsidR="00FA242C" w:rsidRPr="002175D7">
              <w:rPr>
                <w:rFonts w:hint="eastAsia"/>
                <w:sz w:val="24"/>
                <w:szCs w:val="23"/>
              </w:rPr>
              <w:t>人権課題にかかる差別禁止に関する条例や諸外国の法制度</w:t>
            </w:r>
          </w:p>
          <w:p w:rsidR="00EB0CDD" w:rsidRPr="002175D7" w:rsidRDefault="00FA242C" w:rsidP="002175D7">
            <w:pPr>
              <w:ind w:firstLineChars="50" w:firstLine="120"/>
              <w:rPr>
                <w:sz w:val="24"/>
                <w:szCs w:val="23"/>
              </w:rPr>
            </w:pPr>
            <w:r w:rsidRPr="002175D7">
              <w:rPr>
                <w:rFonts w:hint="eastAsia"/>
                <w:sz w:val="24"/>
                <w:szCs w:val="23"/>
              </w:rPr>
              <w:t>○私人間の行為について、公権力の介入の余地と留意点</w:t>
            </w:r>
          </w:p>
        </w:tc>
      </w:tr>
    </w:tbl>
    <w:p w:rsidR="00CB000A" w:rsidRDefault="00CB000A" w:rsidP="00CB000A">
      <w:pPr>
        <w:tabs>
          <w:tab w:val="left" w:pos="5260"/>
        </w:tabs>
        <w:ind w:left="161" w:hangingChars="67" w:hanging="161"/>
        <w:rPr>
          <w:b/>
          <w:sz w:val="24"/>
          <w:szCs w:val="23"/>
          <w:bdr w:val="single" w:sz="4" w:space="0" w:color="auto"/>
        </w:rPr>
      </w:pPr>
    </w:p>
    <w:p w:rsidR="00FA242C" w:rsidRPr="002175D7" w:rsidRDefault="00FA242C" w:rsidP="00CB000A">
      <w:pPr>
        <w:tabs>
          <w:tab w:val="left" w:pos="5260"/>
        </w:tabs>
        <w:ind w:left="161" w:hangingChars="67" w:hanging="161"/>
        <w:rPr>
          <w:b/>
          <w:sz w:val="24"/>
          <w:szCs w:val="23"/>
        </w:rPr>
      </w:pPr>
      <w:r w:rsidRPr="002175D7">
        <w:rPr>
          <w:rFonts w:hint="eastAsia"/>
          <w:b/>
          <w:sz w:val="24"/>
          <w:szCs w:val="23"/>
          <w:bdr w:val="single" w:sz="4" w:space="0" w:color="auto"/>
        </w:rPr>
        <w:t>■障がい者差別に関する取り組みの応用について</w:t>
      </w:r>
      <w:r w:rsidRPr="002175D7">
        <w:rPr>
          <w:b/>
          <w:sz w:val="24"/>
          <w:szCs w:val="23"/>
        </w:rPr>
        <w:tab/>
      </w:r>
    </w:p>
    <w:p w:rsidR="00FA242C" w:rsidRPr="002175D7" w:rsidRDefault="00FA242C" w:rsidP="002175D7">
      <w:pPr>
        <w:spacing w:before="100" w:beforeAutospacing="1"/>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障害者差別解消法が成立した大きな要因は、高齢化が進む現代において、誰の身にも起こりうる問題として受け入れられやすいテーマであったこと。これに対して、他の差別は、人々の思想信条、意見、態度などと抵触する可能性が高く、意見の収斂が難しい。</w:t>
      </w:r>
    </w:p>
    <w:p w:rsidR="00FA242C" w:rsidRPr="002175D7" w:rsidRDefault="00FA242C" w:rsidP="002175D7">
      <w:pPr>
        <w:spacing w:before="100" w:beforeAutospacing="1"/>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障がい者以外の問題を包括的に考えるというのは難しく、個別的な問題の特色をよく見ながらガイドラインをうまく作っていく必要がある。</w:t>
      </w:r>
    </w:p>
    <w:p w:rsidR="00FA242C" w:rsidRPr="002175D7" w:rsidRDefault="00FA242C" w:rsidP="002175D7">
      <w:pPr>
        <w:spacing w:before="100" w:beforeAutospacing="1" w:afterLines="50" w:after="180"/>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障がい者差別解消のポイントは、障がい者が他の人たちと同様に社会に平等にアクセスする権利を確保すること。ゆえに、対象を社会的・公共的サービスを提供する事業者に限っている。個人間の付き合いなどは人間関係の問題なので、啓発に委ねるべき事柄としている。このような切り分けは他の人権課題への応用にあたっても参考になる。</w:t>
      </w:r>
    </w:p>
    <w:p w:rsidR="00FA242C" w:rsidRPr="002175D7" w:rsidRDefault="00FA242C" w:rsidP="00CB000A">
      <w:pPr>
        <w:spacing w:beforeLines="100" w:before="360" w:afterLines="50" w:after="180"/>
        <w:ind w:left="161" w:hangingChars="67" w:hanging="161"/>
        <w:rPr>
          <w:b/>
          <w:sz w:val="24"/>
          <w:szCs w:val="23"/>
        </w:rPr>
      </w:pPr>
      <w:r w:rsidRPr="002175D7">
        <w:rPr>
          <w:rFonts w:hint="eastAsia"/>
          <w:b/>
          <w:sz w:val="24"/>
          <w:szCs w:val="23"/>
          <w:bdr w:val="single" w:sz="4" w:space="0" w:color="auto"/>
        </w:rPr>
        <w:t>■諸外国の動向について</w:t>
      </w:r>
    </w:p>
    <w:p w:rsidR="00FA242C" w:rsidRPr="002175D7" w:rsidRDefault="00FA242C" w:rsidP="002175D7">
      <w:pPr>
        <w:spacing w:before="100" w:beforeAutospacing="1"/>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一般的な差別禁止法を持つ諸外国に共通するのは、いきなり包括的な禁止法ができたわけではなく、個別の人権課題に係る差別禁止法ができて、それをまとめる形で包括化していること。また、差別事由ごとに差別が禁止される分野、具体的に差別が禁止される場面を規定している。</w:t>
      </w:r>
    </w:p>
    <w:p w:rsidR="00FA242C" w:rsidRPr="002175D7" w:rsidRDefault="00FA242C" w:rsidP="002175D7">
      <w:pPr>
        <w:spacing w:before="100" w:beforeAutospacing="1"/>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ドイツの一般平等取扱法は、包括的に差別の禁止を定めているが、家族法、相続法、親密関係や信頼関係を基礎とする関係については適用除外されている。</w:t>
      </w:r>
    </w:p>
    <w:p w:rsidR="00FE20D1" w:rsidRPr="002175D7" w:rsidRDefault="008853EB" w:rsidP="00CB000A">
      <w:pPr>
        <w:spacing w:beforeLines="100" w:before="360" w:afterLines="50" w:after="180"/>
        <w:ind w:left="161" w:hangingChars="67" w:hanging="161"/>
        <w:rPr>
          <w:b/>
          <w:sz w:val="24"/>
          <w:szCs w:val="23"/>
        </w:rPr>
      </w:pPr>
      <w:r w:rsidRPr="002175D7">
        <w:rPr>
          <w:rFonts w:hint="eastAsia"/>
          <w:b/>
          <w:sz w:val="24"/>
          <w:szCs w:val="23"/>
          <w:bdr w:val="single" w:sz="4" w:space="0" w:color="auto"/>
        </w:rPr>
        <w:t>■私人間</w:t>
      </w:r>
      <w:r w:rsidR="009043A5" w:rsidRPr="002175D7">
        <w:rPr>
          <w:rFonts w:hint="eastAsia"/>
          <w:b/>
          <w:sz w:val="24"/>
          <w:szCs w:val="23"/>
          <w:bdr w:val="single" w:sz="4" w:space="0" w:color="auto"/>
        </w:rPr>
        <w:t>（事業者、個人）</w:t>
      </w:r>
      <w:r w:rsidRPr="002175D7">
        <w:rPr>
          <w:rFonts w:hint="eastAsia"/>
          <w:b/>
          <w:sz w:val="24"/>
          <w:szCs w:val="23"/>
          <w:bdr w:val="single" w:sz="4" w:space="0" w:color="auto"/>
        </w:rPr>
        <w:t>の行為への公権力の介入について</w:t>
      </w:r>
    </w:p>
    <w:p w:rsidR="00610708" w:rsidRPr="002175D7" w:rsidRDefault="008853EB" w:rsidP="002175D7">
      <w:pPr>
        <w:spacing w:before="100" w:beforeAutospacing="1" w:afterLines="50" w:after="180"/>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憲法は、公権力と私人との関係を規律するもの</w:t>
      </w:r>
      <w:r w:rsidR="00204413" w:rsidRPr="002175D7">
        <w:rPr>
          <w:rFonts w:hint="eastAsia"/>
          <w:sz w:val="24"/>
          <w:szCs w:val="23"/>
        </w:rPr>
        <w:t>であり、基本的には公権力</w:t>
      </w:r>
      <w:r w:rsidR="00204413" w:rsidRPr="002175D7">
        <w:rPr>
          <w:rFonts w:hint="eastAsia"/>
          <w:sz w:val="24"/>
          <w:szCs w:val="23"/>
        </w:rPr>
        <w:lastRenderedPageBreak/>
        <w:t>は私人間の問題に</w:t>
      </w:r>
      <w:r w:rsidR="00FE6E55" w:rsidRPr="002175D7">
        <w:rPr>
          <w:rFonts w:hint="eastAsia"/>
          <w:sz w:val="24"/>
          <w:szCs w:val="23"/>
        </w:rPr>
        <w:t>介入</w:t>
      </w:r>
      <w:r w:rsidR="00204413" w:rsidRPr="002175D7">
        <w:rPr>
          <w:rFonts w:hint="eastAsia"/>
          <w:sz w:val="24"/>
          <w:szCs w:val="23"/>
        </w:rPr>
        <w:t>すべきでないとされる</w:t>
      </w:r>
      <w:r w:rsidRPr="002175D7">
        <w:rPr>
          <w:rFonts w:hint="eastAsia"/>
          <w:sz w:val="24"/>
          <w:szCs w:val="23"/>
        </w:rPr>
        <w:t>。</w:t>
      </w:r>
      <w:r w:rsidR="005770A7" w:rsidRPr="002175D7">
        <w:rPr>
          <w:rFonts w:hint="eastAsia"/>
          <w:sz w:val="24"/>
          <w:szCs w:val="23"/>
        </w:rPr>
        <w:t>一方、今日、有力な</w:t>
      </w:r>
      <w:r w:rsidR="00610708" w:rsidRPr="002175D7">
        <w:rPr>
          <w:rFonts w:hint="eastAsia"/>
          <w:sz w:val="24"/>
          <w:szCs w:val="23"/>
        </w:rPr>
        <w:t>基本権保護義務論においては、</w:t>
      </w:r>
      <w:r w:rsidR="005770A7" w:rsidRPr="002175D7">
        <w:rPr>
          <w:rFonts w:hint="eastAsia"/>
          <w:sz w:val="24"/>
          <w:szCs w:val="23"/>
        </w:rPr>
        <w:t>私人間</w:t>
      </w:r>
      <w:r w:rsidR="008961CC" w:rsidRPr="002175D7">
        <w:rPr>
          <w:rFonts w:hint="eastAsia"/>
          <w:sz w:val="24"/>
          <w:szCs w:val="23"/>
        </w:rPr>
        <w:t>でも一定の限度を超える</w:t>
      </w:r>
      <w:r w:rsidRPr="002175D7">
        <w:rPr>
          <w:rFonts w:hint="eastAsia"/>
          <w:sz w:val="24"/>
          <w:szCs w:val="23"/>
        </w:rPr>
        <w:t>人権侵害</w:t>
      </w:r>
      <w:r w:rsidR="00610708" w:rsidRPr="002175D7">
        <w:rPr>
          <w:rFonts w:hint="eastAsia"/>
          <w:sz w:val="24"/>
          <w:szCs w:val="23"/>
        </w:rPr>
        <w:t>があった場合</w:t>
      </w:r>
      <w:r w:rsidR="008961CC" w:rsidRPr="002175D7">
        <w:rPr>
          <w:rFonts w:hint="eastAsia"/>
          <w:sz w:val="24"/>
          <w:szCs w:val="23"/>
        </w:rPr>
        <w:t>には</w:t>
      </w:r>
      <w:r w:rsidR="00FE20D1" w:rsidRPr="002175D7">
        <w:rPr>
          <w:rFonts w:hint="eastAsia"/>
          <w:sz w:val="24"/>
          <w:szCs w:val="23"/>
        </w:rPr>
        <w:t>、</w:t>
      </w:r>
      <w:r w:rsidR="00610708" w:rsidRPr="002175D7">
        <w:rPr>
          <w:rFonts w:hint="eastAsia"/>
          <w:sz w:val="24"/>
          <w:szCs w:val="23"/>
        </w:rPr>
        <w:t>公権力は</w:t>
      </w:r>
      <w:r w:rsidRPr="002175D7">
        <w:rPr>
          <w:rFonts w:hint="eastAsia"/>
          <w:sz w:val="24"/>
          <w:szCs w:val="23"/>
        </w:rPr>
        <w:t>被害者を守る義務がある</w:t>
      </w:r>
      <w:r w:rsidR="008F053A" w:rsidRPr="002175D7">
        <w:rPr>
          <w:rFonts w:hint="eastAsia"/>
          <w:sz w:val="24"/>
          <w:szCs w:val="23"/>
        </w:rPr>
        <w:t>と</w:t>
      </w:r>
      <w:r w:rsidR="00610708" w:rsidRPr="002175D7">
        <w:rPr>
          <w:rFonts w:hint="eastAsia"/>
          <w:sz w:val="24"/>
          <w:szCs w:val="23"/>
        </w:rPr>
        <w:t>考える</w:t>
      </w:r>
      <w:r w:rsidRPr="002175D7">
        <w:rPr>
          <w:rFonts w:hint="eastAsia"/>
          <w:sz w:val="24"/>
          <w:szCs w:val="23"/>
        </w:rPr>
        <w:t>。</w:t>
      </w:r>
      <w:r w:rsidR="005E7932" w:rsidRPr="002175D7">
        <w:rPr>
          <w:rFonts w:hint="eastAsia"/>
          <w:sz w:val="24"/>
          <w:szCs w:val="23"/>
        </w:rPr>
        <w:t>行政としては、</w:t>
      </w:r>
      <w:r w:rsidR="00245A52" w:rsidRPr="002175D7">
        <w:rPr>
          <w:rFonts w:hint="eastAsia"/>
          <w:sz w:val="24"/>
          <w:szCs w:val="23"/>
        </w:rPr>
        <w:t>差別を放置しておけない一方で、</w:t>
      </w:r>
      <w:r w:rsidR="005E7932" w:rsidRPr="002175D7">
        <w:rPr>
          <w:rFonts w:hint="eastAsia"/>
          <w:sz w:val="24"/>
          <w:szCs w:val="23"/>
        </w:rPr>
        <w:t>過度の介入は</w:t>
      </w:r>
      <w:r w:rsidR="00245A52" w:rsidRPr="002175D7">
        <w:rPr>
          <w:rFonts w:hint="eastAsia"/>
          <w:sz w:val="24"/>
          <w:szCs w:val="23"/>
        </w:rPr>
        <w:t>加害者</w:t>
      </w:r>
      <w:r w:rsidR="005E7932" w:rsidRPr="002175D7">
        <w:rPr>
          <w:rFonts w:hint="eastAsia"/>
          <w:sz w:val="24"/>
          <w:szCs w:val="23"/>
        </w:rPr>
        <w:t>側</w:t>
      </w:r>
      <w:r w:rsidR="00245A52" w:rsidRPr="002175D7">
        <w:rPr>
          <w:rFonts w:hint="eastAsia"/>
          <w:sz w:val="24"/>
          <w:szCs w:val="23"/>
        </w:rPr>
        <w:t>の人権</w:t>
      </w:r>
      <w:r w:rsidR="005E7932" w:rsidRPr="002175D7">
        <w:rPr>
          <w:rFonts w:hint="eastAsia"/>
          <w:sz w:val="24"/>
          <w:szCs w:val="23"/>
        </w:rPr>
        <w:t>侵害につながる恐れがあるので、</w:t>
      </w:r>
      <w:r w:rsidRPr="002175D7">
        <w:rPr>
          <w:rFonts w:hint="eastAsia"/>
          <w:sz w:val="24"/>
          <w:szCs w:val="23"/>
        </w:rPr>
        <w:t>どの範囲で何ができるのか</w:t>
      </w:r>
      <w:r w:rsidR="008F053A" w:rsidRPr="002175D7">
        <w:rPr>
          <w:rFonts w:hint="eastAsia"/>
          <w:sz w:val="24"/>
          <w:szCs w:val="23"/>
        </w:rPr>
        <w:t>を考える必要がある</w:t>
      </w:r>
      <w:r w:rsidRPr="002175D7">
        <w:rPr>
          <w:rFonts w:hint="eastAsia"/>
          <w:sz w:val="24"/>
          <w:szCs w:val="23"/>
        </w:rPr>
        <w:t>。</w:t>
      </w:r>
    </w:p>
    <w:p w:rsidR="00610708" w:rsidRPr="002175D7" w:rsidRDefault="00610708" w:rsidP="00CB000A">
      <w:pPr>
        <w:spacing w:beforeLines="100" w:before="360" w:afterLines="50" w:after="180"/>
        <w:ind w:left="161" w:hangingChars="67" w:hanging="161"/>
        <w:rPr>
          <w:b/>
          <w:sz w:val="24"/>
          <w:szCs w:val="23"/>
          <w:bdr w:val="single" w:sz="4" w:space="0" w:color="auto"/>
        </w:rPr>
      </w:pPr>
      <w:r w:rsidRPr="002175D7">
        <w:rPr>
          <w:rFonts w:hint="eastAsia"/>
          <w:b/>
          <w:sz w:val="24"/>
          <w:szCs w:val="23"/>
          <w:bdr w:val="single" w:sz="4" w:space="0" w:color="auto"/>
        </w:rPr>
        <w:t>■団体</w:t>
      </w:r>
      <w:r w:rsidR="008F1A01" w:rsidRPr="002175D7">
        <w:rPr>
          <w:rFonts w:hint="eastAsia"/>
          <w:b/>
          <w:sz w:val="24"/>
          <w:szCs w:val="23"/>
          <w:bdr w:val="single" w:sz="4" w:space="0" w:color="auto"/>
        </w:rPr>
        <w:t>（≒事業者）</w:t>
      </w:r>
      <w:r w:rsidR="002B1E59" w:rsidRPr="002175D7">
        <w:rPr>
          <w:rFonts w:hint="eastAsia"/>
          <w:b/>
          <w:sz w:val="24"/>
          <w:szCs w:val="23"/>
          <w:bdr w:val="single" w:sz="4" w:space="0" w:color="auto"/>
        </w:rPr>
        <w:t>の行為</w:t>
      </w:r>
      <w:r w:rsidRPr="002175D7">
        <w:rPr>
          <w:rFonts w:hint="eastAsia"/>
          <w:b/>
          <w:sz w:val="24"/>
          <w:szCs w:val="23"/>
          <w:bdr w:val="single" w:sz="4" w:space="0" w:color="auto"/>
        </w:rPr>
        <w:t>と個人の行為の違い</w:t>
      </w:r>
      <w:r w:rsidR="0047416B" w:rsidRPr="002175D7">
        <w:rPr>
          <w:rFonts w:hint="eastAsia"/>
          <w:b/>
          <w:sz w:val="24"/>
          <w:szCs w:val="23"/>
          <w:bdr w:val="single" w:sz="4" w:space="0" w:color="auto"/>
        </w:rPr>
        <w:t>について</w:t>
      </w:r>
    </w:p>
    <w:p w:rsidR="008853EB" w:rsidRPr="002175D7" w:rsidRDefault="008853EB" w:rsidP="002175D7">
      <w:pPr>
        <w:spacing w:before="100" w:beforeAutospacing="1" w:afterLines="50" w:after="180"/>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Pr="002175D7">
        <w:rPr>
          <w:rFonts w:hint="eastAsia"/>
          <w:sz w:val="24"/>
          <w:szCs w:val="23"/>
        </w:rPr>
        <w:t>団体の人</w:t>
      </w:r>
      <w:r w:rsidR="009043A5" w:rsidRPr="002175D7">
        <w:rPr>
          <w:rFonts w:hint="eastAsia"/>
          <w:sz w:val="24"/>
          <w:szCs w:val="23"/>
        </w:rPr>
        <w:t>権については、①人権は、性質上可能な限り団体にも認められるとする</w:t>
      </w:r>
      <w:r w:rsidRPr="002175D7">
        <w:rPr>
          <w:rFonts w:hint="eastAsia"/>
          <w:sz w:val="24"/>
          <w:szCs w:val="23"/>
        </w:rPr>
        <w:t>考え方と、②</w:t>
      </w:r>
      <w:r w:rsidR="00610708" w:rsidRPr="002175D7">
        <w:rPr>
          <w:rFonts w:hint="eastAsia"/>
          <w:sz w:val="24"/>
          <w:szCs w:val="23"/>
        </w:rPr>
        <w:t>人権</w:t>
      </w:r>
      <w:r w:rsidRPr="002175D7">
        <w:rPr>
          <w:rFonts w:hint="eastAsia"/>
          <w:sz w:val="24"/>
          <w:szCs w:val="23"/>
        </w:rPr>
        <w:t>は</w:t>
      </w:r>
      <w:r w:rsidR="00610708" w:rsidRPr="002175D7">
        <w:rPr>
          <w:rFonts w:hint="eastAsia"/>
          <w:sz w:val="24"/>
          <w:szCs w:val="23"/>
        </w:rPr>
        <w:t>、</w:t>
      </w:r>
      <w:r w:rsidRPr="002175D7">
        <w:rPr>
          <w:rFonts w:hint="eastAsia"/>
          <w:sz w:val="24"/>
          <w:szCs w:val="23"/>
        </w:rPr>
        <w:t>そもそも人間が人間であるが故に持っているものであり、団体には個人と同じようには人権は保障されないとする考え方がある。表現の自由や思想良心の自由を持つ個人</w:t>
      </w:r>
      <w:r w:rsidR="0047416B" w:rsidRPr="002175D7">
        <w:rPr>
          <w:rFonts w:hint="eastAsia"/>
          <w:sz w:val="24"/>
          <w:szCs w:val="23"/>
        </w:rPr>
        <w:t>の行為</w:t>
      </w:r>
      <w:r w:rsidRPr="002175D7">
        <w:rPr>
          <w:rFonts w:hint="eastAsia"/>
          <w:sz w:val="24"/>
          <w:szCs w:val="23"/>
        </w:rPr>
        <w:t>への介入は、団体</w:t>
      </w:r>
      <w:r w:rsidR="0047416B" w:rsidRPr="002175D7">
        <w:rPr>
          <w:rFonts w:hint="eastAsia"/>
          <w:sz w:val="24"/>
          <w:szCs w:val="23"/>
        </w:rPr>
        <w:t>の行為へ</w:t>
      </w:r>
      <w:r w:rsidRPr="002175D7">
        <w:rPr>
          <w:rFonts w:hint="eastAsia"/>
          <w:sz w:val="24"/>
          <w:szCs w:val="23"/>
        </w:rPr>
        <w:t>の介入以上に難しいと考える</w:t>
      </w:r>
      <w:r w:rsidR="00C20F62">
        <w:rPr>
          <w:rFonts w:hint="eastAsia"/>
          <w:sz w:val="24"/>
          <w:szCs w:val="23"/>
        </w:rPr>
        <w:t>。</w:t>
      </w:r>
    </w:p>
    <w:p w:rsidR="00FE20D1" w:rsidRPr="002175D7" w:rsidRDefault="00610708" w:rsidP="00CB000A">
      <w:pPr>
        <w:spacing w:beforeLines="100" w:before="360" w:afterLines="50" w:after="180"/>
        <w:ind w:left="161" w:hangingChars="67" w:hanging="161"/>
        <w:rPr>
          <w:b/>
          <w:sz w:val="24"/>
          <w:szCs w:val="23"/>
          <w:bdr w:val="single" w:sz="4" w:space="0" w:color="auto"/>
        </w:rPr>
      </w:pPr>
      <w:r w:rsidRPr="002175D7">
        <w:rPr>
          <w:rFonts w:hint="eastAsia"/>
          <w:b/>
          <w:sz w:val="24"/>
          <w:szCs w:val="23"/>
          <w:bdr w:val="single" w:sz="4" w:space="0" w:color="auto"/>
        </w:rPr>
        <w:t>■</w:t>
      </w:r>
      <w:r w:rsidR="002B1E59" w:rsidRPr="002175D7">
        <w:rPr>
          <w:rFonts w:hint="eastAsia"/>
          <w:b/>
          <w:sz w:val="24"/>
          <w:szCs w:val="23"/>
          <w:bdr w:val="single" w:sz="4" w:space="0" w:color="auto"/>
        </w:rPr>
        <w:t>個人</w:t>
      </w:r>
      <w:r w:rsidRPr="002175D7">
        <w:rPr>
          <w:rFonts w:hint="eastAsia"/>
          <w:b/>
          <w:sz w:val="24"/>
          <w:szCs w:val="23"/>
          <w:bdr w:val="single" w:sz="4" w:space="0" w:color="auto"/>
        </w:rPr>
        <w:t>の行為について</w:t>
      </w:r>
    </w:p>
    <w:p w:rsidR="00FE20D1" w:rsidRPr="002175D7" w:rsidRDefault="00FE20D1" w:rsidP="002175D7">
      <w:pPr>
        <w:spacing w:before="100" w:beforeAutospacing="1"/>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005770A7" w:rsidRPr="002175D7">
        <w:rPr>
          <w:rFonts w:hint="eastAsia"/>
          <w:sz w:val="24"/>
          <w:szCs w:val="23"/>
        </w:rPr>
        <w:t>個人の行為</w:t>
      </w:r>
      <w:r w:rsidR="008F1A01" w:rsidRPr="002175D7">
        <w:rPr>
          <w:rFonts w:hint="eastAsia"/>
          <w:sz w:val="24"/>
          <w:szCs w:val="23"/>
        </w:rPr>
        <w:t>の規制は</w:t>
      </w:r>
      <w:r w:rsidR="008F053A" w:rsidRPr="002175D7">
        <w:rPr>
          <w:rFonts w:hint="eastAsia"/>
          <w:sz w:val="24"/>
          <w:szCs w:val="23"/>
        </w:rPr>
        <w:t>、</w:t>
      </w:r>
      <w:r w:rsidR="008F1A01" w:rsidRPr="002175D7">
        <w:rPr>
          <w:rFonts w:hint="eastAsia"/>
          <w:sz w:val="24"/>
          <w:szCs w:val="23"/>
        </w:rPr>
        <w:t>公権力</w:t>
      </w:r>
      <w:r w:rsidRPr="002175D7">
        <w:rPr>
          <w:rFonts w:hint="eastAsia"/>
          <w:sz w:val="24"/>
          <w:szCs w:val="23"/>
        </w:rPr>
        <w:t>介入の根拠がどんど</w:t>
      </w:r>
      <w:r w:rsidR="008F1A01" w:rsidRPr="002175D7">
        <w:rPr>
          <w:rFonts w:hint="eastAsia"/>
          <w:sz w:val="24"/>
          <w:szCs w:val="23"/>
        </w:rPr>
        <w:t>ん増えていくことになり、非常に危ない。</w:t>
      </w:r>
    </w:p>
    <w:p w:rsidR="00FE20D1" w:rsidRPr="002175D7" w:rsidRDefault="00FE20D1" w:rsidP="002175D7">
      <w:pPr>
        <w:spacing w:before="100" w:beforeAutospacing="1"/>
        <w:ind w:left="240" w:hangingChars="100" w:hanging="240"/>
        <w:rPr>
          <w:sz w:val="24"/>
          <w:szCs w:val="23"/>
        </w:rPr>
      </w:pPr>
      <w:r w:rsidRPr="002175D7">
        <w:rPr>
          <w:rFonts w:hint="eastAsia"/>
          <w:sz w:val="24"/>
          <w:szCs w:val="23"/>
        </w:rPr>
        <w:t>○</w:t>
      </w:r>
      <w:r w:rsidR="00D252A0" w:rsidRPr="002175D7">
        <w:rPr>
          <w:rFonts w:hint="eastAsia"/>
          <w:sz w:val="24"/>
          <w:szCs w:val="23"/>
        </w:rPr>
        <w:t xml:space="preserve">　</w:t>
      </w:r>
      <w:r w:rsidR="005770A7" w:rsidRPr="002175D7">
        <w:rPr>
          <w:rFonts w:hint="eastAsia"/>
          <w:sz w:val="24"/>
          <w:szCs w:val="23"/>
        </w:rPr>
        <w:t>結婚差別などは、</w:t>
      </w:r>
      <w:r w:rsidRPr="002175D7">
        <w:rPr>
          <w:rFonts w:hint="eastAsia"/>
          <w:sz w:val="24"/>
          <w:szCs w:val="23"/>
        </w:rPr>
        <w:t>個人の生き方に直接関わってくる</w:t>
      </w:r>
      <w:r w:rsidR="008F1A01" w:rsidRPr="002175D7">
        <w:rPr>
          <w:rFonts w:hint="eastAsia"/>
          <w:sz w:val="24"/>
          <w:szCs w:val="23"/>
        </w:rPr>
        <w:t>話であって、公権力が関与していくことは</w:t>
      </w:r>
      <w:r w:rsidR="008F053A" w:rsidRPr="002175D7">
        <w:rPr>
          <w:rFonts w:hint="eastAsia"/>
          <w:sz w:val="24"/>
          <w:szCs w:val="23"/>
        </w:rPr>
        <w:t>非常に危険</w:t>
      </w:r>
      <w:r w:rsidRPr="002175D7">
        <w:rPr>
          <w:rFonts w:hint="eastAsia"/>
          <w:sz w:val="24"/>
          <w:szCs w:val="23"/>
        </w:rPr>
        <w:t>。</w:t>
      </w:r>
      <w:r w:rsidR="005770A7" w:rsidRPr="002175D7">
        <w:rPr>
          <w:rFonts w:hint="eastAsia"/>
          <w:sz w:val="24"/>
          <w:szCs w:val="23"/>
        </w:rPr>
        <w:t>また、</w:t>
      </w:r>
      <w:r w:rsidRPr="002175D7">
        <w:rPr>
          <w:rFonts w:hint="eastAsia"/>
          <w:sz w:val="24"/>
          <w:szCs w:val="23"/>
        </w:rPr>
        <w:t>実効性の面でも難しい</w:t>
      </w:r>
      <w:r w:rsidR="008F1A01" w:rsidRPr="002175D7">
        <w:rPr>
          <w:rFonts w:hint="eastAsia"/>
          <w:sz w:val="24"/>
          <w:szCs w:val="23"/>
        </w:rPr>
        <w:t>（差別に基づくものなのか判断できない）</w:t>
      </w:r>
      <w:r w:rsidRPr="002175D7">
        <w:rPr>
          <w:rFonts w:hint="eastAsia"/>
          <w:sz w:val="24"/>
          <w:szCs w:val="23"/>
        </w:rPr>
        <w:t>。</w:t>
      </w:r>
    </w:p>
    <w:p w:rsidR="00FA242C" w:rsidRPr="002175D7" w:rsidRDefault="00FA242C" w:rsidP="002175D7">
      <w:pPr>
        <w:spacing w:afterLines="50" w:after="180"/>
        <w:ind w:left="161" w:hangingChars="67" w:hanging="161"/>
        <w:rPr>
          <w:sz w:val="24"/>
        </w:rPr>
      </w:pPr>
    </w:p>
    <w:p w:rsidR="00FA242C" w:rsidRPr="002175D7" w:rsidRDefault="00FA242C" w:rsidP="002175D7">
      <w:pPr>
        <w:spacing w:afterLines="50" w:after="180"/>
        <w:ind w:left="161" w:hangingChars="67" w:hanging="161"/>
        <w:rPr>
          <w:sz w:val="24"/>
        </w:rPr>
      </w:pPr>
    </w:p>
    <w:sectPr w:rsidR="00FA242C" w:rsidRPr="002175D7" w:rsidSect="00FA242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F7" w:rsidRDefault="003E56F7" w:rsidP="00D252A0">
      <w:r>
        <w:separator/>
      </w:r>
    </w:p>
  </w:endnote>
  <w:endnote w:type="continuationSeparator" w:id="0">
    <w:p w:rsidR="003E56F7" w:rsidRDefault="003E56F7" w:rsidP="00D2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048549"/>
      <w:docPartObj>
        <w:docPartGallery w:val="Page Numbers (Bottom of Page)"/>
        <w:docPartUnique/>
      </w:docPartObj>
    </w:sdtPr>
    <w:sdtEndPr/>
    <w:sdtContent>
      <w:p w:rsidR="00D252A0" w:rsidRDefault="00D252A0">
        <w:pPr>
          <w:pStyle w:val="a6"/>
          <w:jc w:val="center"/>
        </w:pPr>
        <w:r>
          <w:fldChar w:fldCharType="begin"/>
        </w:r>
        <w:r>
          <w:instrText>PAGE   \* MERGEFORMAT</w:instrText>
        </w:r>
        <w:r>
          <w:fldChar w:fldCharType="separate"/>
        </w:r>
        <w:r w:rsidR="0007335C" w:rsidRPr="0007335C">
          <w:rPr>
            <w:noProof/>
            <w:lang w:val="ja-JP"/>
          </w:rPr>
          <w:t>1</w:t>
        </w:r>
        <w:r>
          <w:fldChar w:fldCharType="end"/>
        </w:r>
      </w:p>
    </w:sdtContent>
  </w:sdt>
  <w:p w:rsidR="00D252A0" w:rsidRDefault="00D252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F7" w:rsidRDefault="003E56F7" w:rsidP="00D252A0">
      <w:r>
        <w:separator/>
      </w:r>
    </w:p>
  </w:footnote>
  <w:footnote w:type="continuationSeparator" w:id="0">
    <w:p w:rsidR="003E56F7" w:rsidRDefault="003E56F7" w:rsidP="00D2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EB"/>
    <w:rsid w:val="0007335C"/>
    <w:rsid w:val="00124984"/>
    <w:rsid w:val="00164829"/>
    <w:rsid w:val="00204413"/>
    <w:rsid w:val="002175D7"/>
    <w:rsid w:val="00245A52"/>
    <w:rsid w:val="002B1E59"/>
    <w:rsid w:val="003E56F7"/>
    <w:rsid w:val="0047416B"/>
    <w:rsid w:val="0052707C"/>
    <w:rsid w:val="005770A7"/>
    <w:rsid w:val="005E7932"/>
    <w:rsid w:val="00610708"/>
    <w:rsid w:val="006303E4"/>
    <w:rsid w:val="00652ACF"/>
    <w:rsid w:val="006734BC"/>
    <w:rsid w:val="006B6AB6"/>
    <w:rsid w:val="007000BD"/>
    <w:rsid w:val="007A5200"/>
    <w:rsid w:val="00876942"/>
    <w:rsid w:val="008853EB"/>
    <w:rsid w:val="008961CC"/>
    <w:rsid w:val="008F053A"/>
    <w:rsid w:val="008F1A01"/>
    <w:rsid w:val="009043A5"/>
    <w:rsid w:val="00946E81"/>
    <w:rsid w:val="00A0327E"/>
    <w:rsid w:val="00AB2792"/>
    <w:rsid w:val="00B12177"/>
    <w:rsid w:val="00C20F62"/>
    <w:rsid w:val="00CB000A"/>
    <w:rsid w:val="00CD72D6"/>
    <w:rsid w:val="00D252A0"/>
    <w:rsid w:val="00EB0CDD"/>
    <w:rsid w:val="00FA242C"/>
    <w:rsid w:val="00FD083C"/>
    <w:rsid w:val="00FE20D1"/>
    <w:rsid w:val="00FE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52A0"/>
    <w:pPr>
      <w:tabs>
        <w:tab w:val="center" w:pos="4252"/>
        <w:tab w:val="right" w:pos="8504"/>
      </w:tabs>
      <w:snapToGrid w:val="0"/>
    </w:pPr>
  </w:style>
  <w:style w:type="character" w:customStyle="1" w:styleId="a5">
    <w:name w:val="ヘッダー (文字)"/>
    <w:basedOn w:val="a0"/>
    <w:link w:val="a4"/>
    <w:uiPriority w:val="99"/>
    <w:rsid w:val="00D252A0"/>
  </w:style>
  <w:style w:type="paragraph" w:styleId="a6">
    <w:name w:val="footer"/>
    <w:basedOn w:val="a"/>
    <w:link w:val="a7"/>
    <w:uiPriority w:val="99"/>
    <w:unhideWhenUsed/>
    <w:rsid w:val="00D252A0"/>
    <w:pPr>
      <w:tabs>
        <w:tab w:val="center" w:pos="4252"/>
        <w:tab w:val="right" w:pos="8504"/>
      </w:tabs>
      <w:snapToGrid w:val="0"/>
    </w:pPr>
  </w:style>
  <w:style w:type="character" w:customStyle="1" w:styleId="a7">
    <w:name w:val="フッター (文字)"/>
    <w:basedOn w:val="a0"/>
    <w:link w:val="a6"/>
    <w:uiPriority w:val="99"/>
    <w:rsid w:val="00D252A0"/>
  </w:style>
  <w:style w:type="paragraph" w:styleId="a8">
    <w:name w:val="Balloon Text"/>
    <w:basedOn w:val="a"/>
    <w:link w:val="a9"/>
    <w:uiPriority w:val="99"/>
    <w:semiHidden/>
    <w:unhideWhenUsed/>
    <w:rsid w:val="000733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3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252A0"/>
    <w:pPr>
      <w:tabs>
        <w:tab w:val="center" w:pos="4252"/>
        <w:tab w:val="right" w:pos="8504"/>
      </w:tabs>
      <w:snapToGrid w:val="0"/>
    </w:pPr>
  </w:style>
  <w:style w:type="character" w:customStyle="1" w:styleId="a5">
    <w:name w:val="ヘッダー (文字)"/>
    <w:basedOn w:val="a0"/>
    <w:link w:val="a4"/>
    <w:uiPriority w:val="99"/>
    <w:rsid w:val="00D252A0"/>
  </w:style>
  <w:style w:type="paragraph" w:styleId="a6">
    <w:name w:val="footer"/>
    <w:basedOn w:val="a"/>
    <w:link w:val="a7"/>
    <w:uiPriority w:val="99"/>
    <w:unhideWhenUsed/>
    <w:rsid w:val="00D252A0"/>
    <w:pPr>
      <w:tabs>
        <w:tab w:val="center" w:pos="4252"/>
        <w:tab w:val="right" w:pos="8504"/>
      </w:tabs>
      <w:snapToGrid w:val="0"/>
    </w:pPr>
  </w:style>
  <w:style w:type="character" w:customStyle="1" w:styleId="a7">
    <w:name w:val="フッター (文字)"/>
    <w:basedOn w:val="a0"/>
    <w:link w:val="a6"/>
    <w:uiPriority w:val="99"/>
    <w:rsid w:val="00D252A0"/>
  </w:style>
  <w:style w:type="paragraph" w:styleId="a8">
    <w:name w:val="Balloon Text"/>
    <w:basedOn w:val="a"/>
    <w:link w:val="a9"/>
    <w:uiPriority w:val="99"/>
    <w:semiHidden/>
    <w:unhideWhenUsed/>
    <w:rsid w:val="000733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AA05-8169-46A9-A66A-890BB21C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2014-10-17T08:16:00Z</dcterms:created>
  <dcterms:modified xsi:type="dcterms:W3CDTF">2014-10-23T00:52:00Z</dcterms:modified>
</cp:coreProperties>
</file>