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E43D9C" w:rsidP="00CC3B3E">
      <w:pPr>
        <w:jc w:val="center"/>
        <w:rPr>
          <w:rFonts w:ascii="ＭＳ ゴシック" w:eastAsia="ＭＳ ゴシック" w:hAnsi="ＭＳ ゴシック"/>
          <w:b/>
          <w:sz w:val="24"/>
          <w:szCs w:val="24"/>
        </w:rPr>
      </w:pPr>
      <w:r w:rsidRPr="00E43D9C">
        <w:rPr>
          <w:rFonts w:ascii="ＭＳ ゴシック" w:eastAsia="ＭＳ ゴシック" w:hAnsi="ＭＳ ゴシック" w:hint="eastAsia"/>
          <w:b/>
          <w:bCs/>
          <w:sz w:val="24"/>
          <w:szCs w:val="24"/>
        </w:rPr>
        <w:t>健康医療部</w:t>
      </w:r>
      <w:r w:rsidR="009C18E1" w:rsidRPr="009C18E1">
        <w:rPr>
          <w:rFonts w:ascii="ＭＳ ゴシック" w:eastAsia="ＭＳ ゴシック" w:hAnsi="ＭＳ ゴシック" w:hint="eastAsia"/>
          <w:b/>
          <w:sz w:val="24"/>
          <w:szCs w:val="24"/>
        </w:rPr>
        <w:t>・令和５年度部局運営方針</w:t>
      </w:r>
    </w:p>
    <w:p w:rsidR="00CC3B3E" w:rsidRDefault="00CC3B3E"/>
    <w:p w:rsidR="00E43D9C" w:rsidRPr="00E43D9C" w:rsidRDefault="00E835B0" w:rsidP="00E43D9C">
      <w:pPr>
        <w:rPr>
          <w:rFonts w:ascii="ＭＳ 明朝" w:eastAsia="ＭＳ 明朝" w:hAnsi="ＭＳ 明朝"/>
        </w:rPr>
      </w:pPr>
      <w:r>
        <w:rPr>
          <w:rFonts w:ascii="ＭＳ 明朝" w:eastAsia="ＭＳ 明朝" w:hAnsi="ＭＳ 明朝" w:hint="eastAsia"/>
        </w:rPr>
        <w:t xml:space="preserve">　</w:t>
      </w:r>
      <w:r w:rsidR="00E43D9C" w:rsidRPr="00E43D9C">
        <w:rPr>
          <w:rFonts w:ascii="ＭＳ 明朝" w:eastAsia="ＭＳ 明朝" w:hAnsi="ＭＳ 明朝" w:hint="eastAsia"/>
        </w:rPr>
        <w:t>健康医療部で</w:t>
      </w:r>
      <w:bookmarkStart w:id="0" w:name="_GoBack"/>
      <w:bookmarkEnd w:id="0"/>
      <w:r w:rsidR="00E43D9C" w:rsidRPr="00E43D9C">
        <w:rPr>
          <w:rFonts w:ascii="ＭＳ 明朝" w:eastAsia="ＭＳ 明朝" w:hAnsi="ＭＳ 明朝" w:hint="eastAsia"/>
        </w:rPr>
        <w:t>は、府民のいのちと健康を守るため、「地域医療の充実確保」「健康づくりの推進」「地域保健、感染症対策」「国民健康保険財政の安定的な運営」「医薬品、食品、水等の安全性確保」等の各施策に総合的に取り組んでいます。令和5年度は、万博開催や健康医療分野におけるDX</w:t>
      </w:r>
      <w:r w:rsidR="00E43D9C">
        <w:rPr>
          <w:rFonts w:ascii="ＭＳ 明朝" w:eastAsia="ＭＳ 明朝" w:hAnsi="ＭＳ 明朝" w:hint="eastAsia"/>
        </w:rPr>
        <w:t>化の動きも見据えつつ、</w:t>
      </w:r>
      <w:r w:rsidR="00E43D9C" w:rsidRPr="00E43D9C">
        <w:rPr>
          <w:rFonts w:ascii="ＭＳ 明朝" w:eastAsia="ＭＳ 明朝" w:hAnsi="ＭＳ 明朝" w:hint="eastAsia"/>
        </w:rPr>
        <w:t>医療計画をはじめとする様々な計画の改定を着実に進めるとともに、次の４つのテーマに重点的に取り組みます。</w:t>
      </w:r>
    </w:p>
    <w:p w:rsidR="00CC3B3E" w:rsidRDefault="00CC3B3E">
      <w:pPr>
        <w:rPr>
          <w:rFonts w:ascii="ＭＳ 明朝" w:eastAsia="ＭＳ 明朝" w:hAnsi="ＭＳ 明朝"/>
        </w:rPr>
      </w:pPr>
    </w:p>
    <w:p w:rsidR="00E43D9C" w:rsidRPr="00E43D9C" w:rsidRDefault="00756E20" w:rsidP="00E43D9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E43D9C" w:rsidRPr="00E43D9C">
        <w:rPr>
          <w:rFonts w:ascii="ＭＳ ゴシック" w:eastAsia="ＭＳ ゴシック" w:hAnsi="ＭＳ ゴシック" w:hint="eastAsia"/>
          <w:b/>
          <w:bCs/>
          <w:u w:val="single"/>
        </w:rPr>
        <w:t>新型コロナウイルス感染症の円滑な5類移行及び今後の感染症によるパンデミックに備えた取組強化</w:t>
      </w:r>
    </w:p>
    <w:p w:rsidR="00E835B0" w:rsidRDefault="00E43D9C" w:rsidP="007B0E39">
      <w:pPr>
        <w:ind w:firstLineChars="100" w:firstLine="210"/>
        <w:rPr>
          <w:rFonts w:ascii="ＭＳ 明朝" w:eastAsia="ＭＳ 明朝" w:hAnsi="ＭＳ 明朝"/>
        </w:rPr>
      </w:pPr>
      <w:r w:rsidRPr="00E43D9C">
        <w:rPr>
          <w:rFonts w:ascii="ＭＳ 明朝" w:eastAsia="ＭＳ 明朝" w:hAnsi="ＭＳ 明朝" w:hint="eastAsia"/>
        </w:rPr>
        <w:t>新型コロナの円滑な</w:t>
      </w:r>
      <w:r w:rsidRPr="00E43D9C">
        <w:rPr>
          <w:rFonts w:ascii="ＭＳ 明朝" w:eastAsia="ＭＳ 明朝" w:hAnsi="ＭＳ 明朝"/>
        </w:rPr>
        <w:t>5類移行に向け、移行期間に、医療機関や施設等が各自で感染症対応力を向上させ、行政の関与なしで地域全体が対応する「Withコロナ」体制を構築します。また、新型コロナへの対応の検証も踏まえ、平時からの備えを確実にし、今後の感染症によるパンデミックに対応できる体制の構築に取り組み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E43D9C" w:rsidRPr="00E43D9C" w:rsidRDefault="00E43D9C" w:rsidP="00E43D9C">
      <w:pPr>
        <w:pStyle w:val="a3"/>
        <w:numPr>
          <w:ilvl w:val="0"/>
          <w:numId w:val="1"/>
        </w:numPr>
        <w:ind w:leftChars="0"/>
        <w:rPr>
          <w:rFonts w:ascii="ＭＳ 明朝" w:eastAsia="ＭＳ 明朝" w:hAnsi="ＭＳ 明朝"/>
        </w:rPr>
      </w:pPr>
      <w:r w:rsidRPr="00E43D9C">
        <w:rPr>
          <w:rFonts w:ascii="ＭＳ 明朝" w:eastAsia="ＭＳ 明朝" w:hAnsi="ＭＳ 明朝" w:hint="eastAsia"/>
        </w:rPr>
        <w:t xml:space="preserve">地域全体で対応する「Withコロナ」体制に向けた取組みの推進（医療のすそ野の拡大、高齢者施設等の感染拡大防止対策支援等） </w:t>
      </w:r>
    </w:p>
    <w:p w:rsidR="00CC3B3E" w:rsidRPr="00756E20" w:rsidRDefault="00E43D9C" w:rsidP="00CC3B3E">
      <w:pPr>
        <w:pStyle w:val="a3"/>
        <w:numPr>
          <w:ilvl w:val="0"/>
          <w:numId w:val="1"/>
        </w:numPr>
        <w:ind w:leftChars="0"/>
        <w:rPr>
          <w:rFonts w:ascii="ＭＳ 明朝" w:eastAsia="ＭＳ 明朝" w:hAnsi="ＭＳ 明朝"/>
        </w:rPr>
      </w:pPr>
      <w:r w:rsidRPr="00E43D9C">
        <w:rPr>
          <w:rFonts w:ascii="ＭＳ 明朝" w:eastAsia="ＭＳ 明朝" w:hAnsi="ＭＳ 明朝" w:hint="eastAsia"/>
        </w:rPr>
        <w:t>今後の感染症パンデミックに向けた対応力の強化（感染症予防計画の改定、医療機関等との協定締結に向けた協議、大阪健康安全基盤研究所の健康危機事象への対応力の向上）</w:t>
      </w:r>
    </w:p>
    <w:p w:rsidR="00CC3B3E" w:rsidRPr="00756E20" w:rsidRDefault="00E43D9C" w:rsidP="00CC3B3E">
      <w:pPr>
        <w:pStyle w:val="a3"/>
        <w:numPr>
          <w:ilvl w:val="0"/>
          <w:numId w:val="1"/>
        </w:numPr>
        <w:ind w:leftChars="0"/>
        <w:rPr>
          <w:rFonts w:ascii="ＭＳ 明朝" w:eastAsia="ＭＳ 明朝" w:hAnsi="ＭＳ 明朝"/>
        </w:rPr>
      </w:pPr>
      <w:r w:rsidRPr="00E43D9C">
        <w:rPr>
          <w:rFonts w:ascii="ＭＳ 明朝" w:eastAsia="ＭＳ 明朝" w:hAnsi="ＭＳ 明朝" w:hint="eastAsia"/>
        </w:rPr>
        <w:t xml:space="preserve">大阪・関西万博の開催に向けた様々なリスクに対応できる感染症対策の検討、梅毒や風しんをはじめとする感染症への対応強化　</w:t>
      </w:r>
    </w:p>
    <w:p w:rsidR="00CC3B3E" w:rsidRPr="00CC3B3E" w:rsidRDefault="00CC3B3E" w:rsidP="00CC3B3E"/>
    <w:p w:rsidR="00E43D9C" w:rsidRPr="00E43D9C" w:rsidRDefault="00756E20" w:rsidP="00E43D9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E43D9C" w:rsidRPr="00E43D9C">
        <w:rPr>
          <w:rFonts w:ascii="ＭＳ ゴシック" w:eastAsia="ＭＳ ゴシック" w:hAnsi="ＭＳ ゴシック" w:hint="eastAsia"/>
          <w:b/>
          <w:bCs/>
          <w:u w:val="single"/>
        </w:rPr>
        <w:t>地域医療の充実とギャンブル等依存症をはじめとするこころの健康問題への対応強化</w:t>
      </w:r>
    </w:p>
    <w:p w:rsidR="00E835B0" w:rsidRDefault="00E43D9C" w:rsidP="00E43D9C">
      <w:pPr>
        <w:ind w:firstLineChars="100" w:firstLine="210"/>
        <w:rPr>
          <w:rFonts w:ascii="ＭＳ 明朝" w:eastAsia="ＭＳ 明朝" w:hAnsi="ＭＳ 明朝" w:hint="eastAsia"/>
        </w:rPr>
      </w:pPr>
      <w:r w:rsidRPr="00E43D9C">
        <w:rPr>
          <w:rFonts w:ascii="ＭＳ 明朝" w:eastAsia="ＭＳ 明朝" w:hAnsi="ＭＳ 明朝" w:hint="eastAsia"/>
        </w:rPr>
        <w:t>少子化・超高齢社会における医療需要の変化を踏まえ、府民が住み慣れた地域で必要な医療・介護サービスの提供を受けることができるよう、地域医療の充実を図るとともに、ギャンブル等依存症や自殺対策等こころの健康問題への対応を強化し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E835B0" w:rsidRPr="00E43D9C" w:rsidRDefault="00E43D9C" w:rsidP="00E43D9C">
      <w:pPr>
        <w:pStyle w:val="a3"/>
        <w:numPr>
          <w:ilvl w:val="0"/>
          <w:numId w:val="1"/>
        </w:numPr>
        <w:ind w:leftChars="0"/>
        <w:rPr>
          <w:rFonts w:ascii="ＭＳ 明朝" w:eastAsia="ＭＳ 明朝" w:hAnsi="ＭＳ 明朝"/>
        </w:rPr>
      </w:pPr>
      <w:r w:rsidRPr="00E43D9C">
        <w:rPr>
          <w:rFonts w:ascii="ＭＳ 明朝" w:eastAsia="ＭＳ 明朝" w:hAnsi="ＭＳ 明朝" w:hint="eastAsia"/>
        </w:rPr>
        <w:t>地域の実情に沿った医療提供体制の構築（医療計画の改定、地域医療構想や医師確保計画の推進、医師の働き方改革の取組支援、救急災害医療や小児・周産期医療の推進、</w:t>
      </w:r>
      <w:r w:rsidRPr="00E43D9C">
        <w:rPr>
          <w:rFonts w:ascii="ＭＳ 明朝" w:eastAsia="ＭＳ 明朝" w:hAnsi="ＭＳ 明朝"/>
        </w:rPr>
        <w:t>在宅医療の充実・人生会議の普及啓発、難病・循環器病対策の推進）</w:t>
      </w:r>
    </w:p>
    <w:p w:rsidR="00E835B0" w:rsidRDefault="00E43D9C" w:rsidP="00E43D9C">
      <w:pPr>
        <w:pStyle w:val="a3"/>
        <w:numPr>
          <w:ilvl w:val="0"/>
          <w:numId w:val="1"/>
        </w:numPr>
        <w:ind w:leftChars="0"/>
        <w:rPr>
          <w:rFonts w:ascii="ＭＳ 明朝" w:eastAsia="ＭＳ 明朝" w:hAnsi="ＭＳ 明朝"/>
        </w:rPr>
      </w:pPr>
      <w:r w:rsidRPr="00E43D9C">
        <w:rPr>
          <w:rFonts w:ascii="ＭＳ 明朝" w:eastAsia="ＭＳ 明朝" w:hAnsi="ＭＳ 明朝" w:hint="eastAsia"/>
        </w:rPr>
        <w:t>第２期計画に基づくギャンブル等依存症対策の更なる強化（「（仮称）大阪依存症センター」の設置に向けた検討など、９つの重点施策を展開）</w:t>
      </w:r>
    </w:p>
    <w:p w:rsidR="00E43D9C" w:rsidRPr="00E43D9C" w:rsidRDefault="00E43D9C" w:rsidP="00E43D9C">
      <w:pPr>
        <w:pStyle w:val="a3"/>
        <w:numPr>
          <w:ilvl w:val="0"/>
          <w:numId w:val="1"/>
        </w:numPr>
        <w:ind w:leftChars="0"/>
        <w:rPr>
          <w:rFonts w:ascii="ＭＳ 明朝" w:eastAsia="ＭＳ 明朝" w:hAnsi="ＭＳ 明朝"/>
        </w:rPr>
      </w:pPr>
      <w:r w:rsidRPr="00E43D9C">
        <w:rPr>
          <w:rFonts w:ascii="ＭＳ 明朝" w:eastAsia="ＭＳ 明朝" w:hAnsi="ＭＳ 明朝" w:hint="eastAsia"/>
        </w:rPr>
        <w:t>若年層等への相談体制の強化など自殺対策の推進</w:t>
      </w:r>
    </w:p>
    <w:p w:rsidR="00E43D9C" w:rsidRPr="00E43D9C" w:rsidRDefault="00E43D9C" w:rsidP="00E43D9C">
      <w:pPr>
        <w:pStyle w:val="a3"/>
        <w:numPr>
          <w:ilvl w:val="0"/>
          <w:numId w:val="1"/>
        </w:numPr>
        <w:ind w:leftChars="0"/>
        <w:rPr>
          <w:rFonts w:ascii="ＭＳ 明朝" w:eastAsia="ＭＳ 明朝" w:hAnsi="ＭＳ 明朝"/>
        </w:rPr>
      </w:pPr>
      <w:r w:rsidRPr="00E43D9C">
        <w:rPr>
          <w:rFonts w:ascii="ＭＳ 明朝" w:eastAsia="ＭＳ 明朝" w:hAnsi="ＭＳ 明朝" w:hint="eastAsia"/>
        </w:rPr>
        <w:t>女性やカップルを対象として将来の妊娠のための健康教育を促す取組みであるプレコンセプションケアの推進</w:t>
      </w:r>
    </w:p>
    <w:p w:rsidR="00E43D9C" w:rsidRPr="00756E20" w:rsidRDefault="00E43D9C" w:rsidP="00E43D9C">
      <w:pPr>
        <w:pStyle w:val="a3"/>
        <w:ind w:leftChars="0" w:left="420"/>
        <w:rPr>
          <w:rFonts w:ascii="ＭＳ 明朝" w:eastAsia="ＭＳ 明朝" w:hAnsi="ＭＳ 明朝"/>
        </w:rPr>
      </w:pPr>
    </w:p>
    <w:p w:rsidR="00E43D9C" w:rsidRPr="00E43D9C" w:rsidRDefault="00756E20" w:rsidP="00E43D9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E43D9C" w:rsidRPr="00E43D9C">
        <w:rPr>
          <w:rFonts w:ascii="ＭＳ ゴシック" w:eastAsia="ＭＳ ゴシック" w:hAnsi="ＭＳ ゴシック" w:hint="eastAsia"/>
          <w:b/>
          <w:bCs/>
          <w:u w:val="single"/>
        </w:rPr>
        <w:t>健康寿命の延伸と保健ガバナンスの強化</w:t>
      </w:r>
    </w:p>
    <w:p w:rsidR="00E43D9C" w:rsidRPr="00E43D9C" w:rsidRDefault="00E43D9C" w:rsidP="00E43D9C">
      <w:pPr>
        <w:ind w:firstLineChars="100" w:firstLine="210"/>
        <w:rPr>
          <w:rFonts w:ascii="ＭＳ 明朝" w:eastAsia="ＭＳ 明朝" w:hAnsi="ＭＳ 明朝"/>
        </w:rPr>
      </w:pPr>
      <w:r w:rsidRPr="00E43D9C">
        <w:rPr>
          <w:rFonts w:ascii="ＭＳ 明朝" w:eastAsia="ＭＳ 明朝" w:hAnsi="ＭＳ 明朝" w:hint="eastAsia"/>
        </w:rPr>
        <w:lastRenderedPageBreak/>
        <w:t>大阪・関西万博の開催に向け、府民の主体的な健康づくりの取組を推進するとともに、市町村保健事業の支援等を強化し、保険財政の安定的運営を図ります。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E835B0" w:rsidRPr="00756E20" w:rsidRDefault="00E43D9C" w:rsidP="00E835B0">
      <w:pPr>
        <w:pStyle w:val="a3"/>
        <w:numPr>
          <w:ilvl w:val="0"/>
          <w:numId w:val="1"/>
        </w:numPr>
        <w:ind w:leftChars="0"/>
        <w:rPr>
          <w:rFonts w:ascii="ＭＳ 明朝" w:eastAsia="ＭＳ 明朝" w:hAnsi="ＭＳ 明朝"/>
        </w:rPr>
      </w:pPr>
      <w:r w:rsidRPr="00E43D9C">
        <w:rPr>
          <w:rFonts w:ascii="ＭＳ 明朝" w:eastAsia="ＭＳ 明朝" w:hAnsi="ＭＳ 明朝" w:hint="eastAsia"/>
        </w:rPr>
        <w:t>健康寿命延伸に向けた健康づくりの推進（健康づくり4計画の改定、「健活10」を柱とした健康づくり活動の普及啓発、受動喫煙防止対策の推進、がん・肝炎対策の充実など）</w:t>
      </w:r>
    </w:p>
    <w:p w:rsidR="00E43D9C" w:rsidRPr="00E43D9C" w:rsidRDefault="00E43D9C" w:rsidP="00E43D9C">
      <w:pPr>
        <w:pStyle w:val="a3"/>
        <w:numPr>
          <w:ilvl w:val="0"/>
          <w:numId w:val="1"/>
        </w:numPr>
        <w:ind w:leftChars="0"/>
        <w:rPr>
          <w:rFonts w:ascii="ＭＳ 明朝" w:eastAsia="ＭＳ 明朝" w:hAnsi="ＭＳ 明朝"/>
        </w:rPr>
      </w:pPr>
      <w:r w:rsidRPr="00E43D9C">
        <w:rPr>
          <w:rFonts w:ascii="ＭＳ 明朝" w:eastAsia="ＭＳ 明朝" w:hAnsi="ＭＳ 明朝" w:hint="eastAsia"/>
        </w:rPr>
        <w:t>市町村保健事業の支援強化やデータヘルスの推進（ヘルスアップ支援事業や大学等と連携した市町村支援の推進、健康づくり支援プラットフォーム整備等事業「アスマイル」など）</w:t>
      </w:r>
    </w:p>
    <w:p w:rsidR="00E43D9C" w:rsidRPr="00E43D9C" w:rsidRDefault="00E43D9C" w:rsidP="00E43D9C">
      <w:pPr>
        <w:pStyle w:val="a3"/>
        <w:numPr>
          <w:ilvl w:val="0"/>
          <w:numId w:val="1"/>
        </w:numPr>
        <w:ind w:leftChars="0"/>
        <w:rPr>
          <w:rFonts w:ascii="ＭＳ 明朝" w:eastAsia="ＭＳ 明朝" w:hAnsi="ＭＳ 明朝"/>
        </w:rPr>
      </w:pPr>
      <w:r w:rsidRPr="00E43D9C">
        <w:rPr>
          <w:rFonts w:ascii="ＭＳ 明朝" w:eastAsia="ＭＳ 明朝" w:hAnsi="ＭＳ 明朝" w:hint="eastAsia"/>
        </w:rPr>
        <w:t>医療費適正化計画の改定、国民健康保険財政の安定的な運営（国民健康保険運営方針の改定、府内統一保険料率に向けた市町村への働きかけなど）</w:t>
      </w:r>
    </w:p>
    <w:p w:rsidR="00E835B0" w:rsidRPr="00756E20" w:rsidRDefault="00E43D9C" w:rsidP="00E835B0">
      <w:pPr>
        <w:pStyle w:val="a3"/>
        <w:numPr>
          <w:ilvl w:val="0"/>
          <w:numId w:val="1"/>
        </w:numPr>
        <w:ind w:leftChars="0"/>
        <w:rPr>
          <w:rFonts w:ascii="ＭＳ 明朝" w:eastAsia="ＭＳ 明朝" w:hAnsi="ＭＳ 明朝"/>
        </w:rPr>
      </w:pPr>
      <w:r w:rsidRPr="00E43D9C">
        <w:rPr>
          <w:rFonts w:ascii="ＭＳ 明朝" w:eastAsia="ＭＳ 明朝" w:hAnsi="ＭＳ 明朝" w:hint="eastAsia"/>
        </w:rPr>
        <w:t>万博開催のインパクトを活かした健康づくりの推進（第19回（令和6年度）食育推進全国大会の府開催に向けた取組みなど）</w:t>
      </w:r>
    </w:p>
    <w:p w:rsidR="00CC3B3E" w:rsidRDefault="00CC3B3E" w:rsidP="00E835B0">
      <w:pPr>
        <w:ind w:firstLineChars="100" w:firstLine="210"/>
        <w:rPr>
          <w:rFonts w:ascii="ＭＳ 明朝" w:eastAsia="ＭＳ 明朝" w:hAnsi="ＭＳ 明朝"/>
        </w:rPr>
      </w:pPr>
    </w:p>
    <w:p w:rsidR="00E43D9C" w:rsidRPr="00E43D9C" w:rsidRDefault="00E43D9C" w:rsidP="00E43D9C">
      <w:pPr>
        <w:rPr>
          <w:rFonts w:ascii="ＭＳ ゴシック" w:eastAsia="ＭＳ ゴシック" w:hAnsi="ＭＳ ゴシック"/>
          <w:b/>
          <w:bCs/>
          <w:u w:val="single"/>
        </w:rPr>
      </w:pPr>
      <w:r>
        <w:rPr>
          <w:rFonts w:ascii="ＭＳ ゴシック" w:eastAsia="ＭＳ ゴシック" w:hAnsi="ＭＳ ゴシック" w:hint="eastAsia"/>
          <w:b/>
          <w:u w:val="single"/>
        </w:rPr>
        <w:t>重点テーマ</w:t>
      </w:r>
      <w:r>
        <w:rPr>
          <w:rFonts w:ascii="ＭＳ ゴシック" w:eastAsia="ＭＳ ゴシック" w:hAnsi="ＭＳ ゴシック" w:hint="eastAsia"/>
          <w:b/>
          <w:u w:val="single"/>
        </w:rPr>
        <w:t>４</w:t>
      </w:r>
      <w:r>
        <w:rPr>
          <w:rFonts w:ascii="ＭＳ ゴシック" w:eastAsia="ＭＳ ゴシック" w:hAnsi="ＭＳ ゴシック" w:hint="eastAsia"/>
          <w:b/>
          <w:u w:val="single"/>
        </w:rPr>
        <w:t xml:space="preserve">　</w:t>
      </w:r>
      <w:r w:rsidRPr="00E43D9C">
        <w:rPr>
          <w:rFonts w:ascii="ＭＳ ゴシック" w:eastAsia="ＭＳ ゴシック" w:hAnsi="ＭＳ ゴシック" w:hint="eastAsia"/>
          <w:b/>
          <w:bCs/>
          <w:u w:val="single"/>
        </w:rPr>
        <w:t>日常生活を支える公衆衛生の向上</w:t>
      </w:r>
    </w:p>
    <w:p w:rsidR="00E43D9C" w:rsidRDefault="00E43D9C" w:rsidP="00E43D9C">
      <w:pPr>
        <w:ind w:firstLineChars="100" w:firstLine="210"/>
        <w:rPr>
          <w:rFonts w:ascii="ＭＳ 明朝" w:eastAsia="ＭＳ 明朝" w:hAnsi="ＭＳ 明朝"/>
        </w:rPr>
      </w:pPr>
      <w:r w:rsidRPr="00E43D9C">
        <w:rPr>
          <w:rFonts w:ascii="ＭＳ 明朝" w:eastAsia="ＭＳ 明朝" w:hAnsi="ＭＳ 明朝" w:hint="eastAsia"/>
        </w:rPr>
        <w:t>水道事業の基盤強化、医薬品・医薬機器の適正使用及び薬物乱用防止啓発の推進、環境衛生・薬事・食品関係施設への監視指導等を行い、日常生活を支える公衆衛生の向上をめざします。</w:t>
      </w:r>
    </w:p>
    <w:p w:rsidR="00E43D9C" w:rsidRDefault="00E43D9C" w:rsidP="00E43D9C">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E43D9C" w:rsidRDefault="00E43D9C" w:rsidP="00E43D9C">
      <w:pPr>
        <w:pStyle w:val="a3"/>
        <w:numPr>
          <w:ilvl w:val="0"/>
          <w:numId w:val="2"/>
        </w:numPr>
        <w:ind w:leftChars="0"/>
        <w:rPr>
          <w:rFonts w:ascii="ＭＳ 明朝" w:eastAsia="ＭＳ 明朝" w:hAnsi="ＭＳ 明朝"/>
        </w:rPr>
      </w:pPr>
      <w:r w:rsidRPr="00E43D9C">
        <w:rPr>
          <w:rFonts w:ascii="ＭＳ 明朝" w:eastAsia="ＭＳ 明朝" w:hAnsi="ＭＳ 明朝" w:hint="eastAsia"/>
        </w:rPr>
        <w:t xml:space="preserve">広域化等による水道事業の基盤強化の推進（水道基盤強化計画の策定、企業団と市町村水道事業者との統合促進、施設の最適配置・統廃合の推進など）　</w:t>
      </w:r>
    </w:p>
    <w:p w:rsidR="00E43D9C" w:rsidRPr="00E43D9C" w:rsidRDefault="00E43D9C" w:rsidP="00E43D9C">
      <w:pPr>
        <w:pStyle w:val="a3"/>
        <w:numPr>
          <w:ilvl w:val="0"/>
          <w:numId w:val="2"/>
        </w:numPr>
        <w:ind w:leftChars="0"/>
        <w:rPr>
          <w:rFonts w:ascii="ＭＳ 明朝" w:eastAsia="ＭＳ 明朝" w:hAnsi="ＭＳ 明朝"/>
        </w:rPr>
      </w:pPr>
      <w:r w:rsidRPr="00E43D9C">
        <w:rPr>
          <w:rFonts w:ascii="ＭＳ 明朝" w:eastAsia="ＭＳ 明朝" w:hAnsi="ＭＳ 明朝" w:hint="eastAsia"/>
        </w:rPr>
        <w:t>高齢者の多剤・重複投薬により生じる課題の対策や後発医薬品の安心使用の促進（地域連携薬局等の取組支援、地域フォーミュラリ構築の支援など）</w:t>
      </w:r>
    </w:p>
    <w:p w:rsidR="00E43D9C" w:rsidRPr="00E43D9C" w:rsidRDefault="00E43D9C" w:rsidP="00E43D9C">
      <w:pPr>
        <w:pStyle w:val="a3"/>
        <w:numPr>
          <w:ilvl w:val="0"/>
          <w:numId w:val="2"/>
        </w:numPr>
        <w:ind w:leftChars="0"/>
        <w:rPr>
          <w:rFonts w:ascii="ＭＳ 明朝" w:eastAsia="ＭＳ 明朝" w:hAnsi="ＭＳ 明朝"/>
        </w:rPr>
      </w:pPr>
      <w:r w:rsidRPr="00E43D9C">
        <w:rPr>
          <w:rFonts w:ascii="ＭＳ 明朝" w:eastAsia="ＭＳ 明朝" w:hAnsi="ＭＳ 明朝" w:hint="eastAsia"/>
        </w:rPr>
        <w:t>効果的な啓発手法による若年層向け薬物乱用防止対策の推進、医薬品の実用化に必要な治験の府内実施環境の整備</w:t>
      </w:r>
    </w:p>
    <w:p w:rsidR="00E43D9C" w:rsidRPr="00E43D9C" w:rsidRDefault="00E43D9C" w:rsidP="00E43D9C">
      <w:pPr>
        <w:pStyle w:val="a3"/>
        <w:numPr>
          <w:ilvl w:val="0"/>
          <w:numId w:val="2"/>
        </w:numPr>
        <w:ind w:leftChars="0"/>
        <w:rPr>
          <w:rFonts w:ascii="ＭＳ 明朝" w:eastAsia="ＭＳ 明朝" w:hAnsi="ＭＳ 明朝"/>
        </w:rPr>
      </w:pPr>
      <w:r w:rsidRPr="00E43D9C">
        <w:rPr>
          <w:rFonts w:ascii="ＭＳ 明朝" w:eastAsia="ＭＳ 明朝" w:hAnsi="ＭＳ 明朝" w:hint="eastAsia"/>
        </w:rPr>
        <w:t>食の安全安心の確保（事業者のHACCP取組支援や情報発信の推進など）</w:t>
      </w:r>
    </w:p>
    <w:sectPr w:rsidR="00E43D9C" w:rsidRPr="00E43D9C"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E1" w:rsidRDefault="009C18E1" w:rsidP="009C18E1">
      <w:r>
        <w:separator/>
      </w:r>
    </w:p>
  </w:endnote>
  <w:endnote w:type="continuationSeparator" w:id="0">
    <w:p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E1" w:rsidRDefault="009C18E1" w:rsidP="009C18E1">
      <w:r>
        <w:separator/>
      </w:r>
    </w:p>
  </w:footnote>
  <w:footnote w:type="continuationSeparator" w:id="0">
    <w:p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2927"/>
    <w:multiLevelType w:val="hybridMultilevel"/>
    <w:tmpl w:val="E140EC5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61204E"/>
    <w:rsid w:val="00756E20"/>
    <w:rsid w:val="007B0E39"/>
    <w:rsid w:val="009902D2"/>
    <w:rsid w:val="009C18E1"/>
    <w:rsid w:val="00CC3B3E"/>
    <w:rsid w:val="00D729A0"/>
    <w:rsid w:val="00E43D9C"/>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8203BD"/>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E43D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497">
      <w:bodyDiv w:val="1"/>
      <w:marLeft w:val="0"/>
      <w:marRight w:val="0"/>
      <w:marTop w:val="0"/>
      <w:marBottom w:val="0"/>
      <w:divBdr>
        <w:top w:val="none" w:sz="0" w:space="0" w:color="auto"/>
        <w:left w:val="none" w:sz="0" w:space="0" w:color="auto"/>
        <w:bottom w:val="none" w:sz="0" w:space="0" w:color="auto"/>
        <w:right w:val="none" w:sz="0" w:space="0" w:color="auto"/>
      </w:divBdr>
    </w:div>
    <w:div w:id="117376313">
      <w:bodyDiv w:val="1"/>
      <w:marLeft w:val="0"/>
      <w:marRight w:val="0"/>
      <w:marTop w:val="0"/>
      <w:marBottom w:val="0"/>
      <w:divBdr>
        <w:top w:val="none" w:sz="0" w:space="0" w:color="auto"/>
        <w:left w:val="none" w:sz="0" w:space="0" w:color="auto"/>
        <w:bottom w:val="none" w:sz="0" w:space="0" w:color="auto"/>
        <w:right w:val="none" w:sz="0" w:space="0" w:color="auto"/>
      </w:divBdr>
    </w:div>
    <w:div w:id="231477347">
      <w:bodyDiv w:val="1"/>
      <w:marLeft w:val="0"/>
      <w:marRight w:val="0"/>
      <w:marTop w:val="0"/>
      <w:marBottom w:val="0"/>
      <w:divBdr>
        <w:top w:val="none" w:sz="0" w:space="0" w:color="auto"/>
        <w:left w:val="none" w:sz="0" w:space="0" w:color="auto"/>
        <w:bottom w:val="none" w:sz="0" w:space="0" w:color="auto"/>
        <w:right w:val="none" w:sz="0" w:space="0" w:color="auto"/>
      </w:divBdr>
    </w:div>
    <w:div w:id="463163812">
      <w:bodyDiv w:val="1"/>
      <w:marLeft w:val="0"/>
      <w:marRight w:val="0"/>
      <w:marTop w:val="0"/>
      <w:marBottom w:val="0"/>
      <w:divBdr>
        <w:top w:val="none" w:sz="0" w:space="0" w:color="auto"/>
        <w:left w:val="none" w:sz="0" w:space="0" w:color="auto"/>
        <w:bottom w:val="none" w:sz="0" w:space="0" w:color="auto"/>
        <w:right w:val="none" w:sz="0" w:space="0" w:color="auto"/>
      </w:divBdr>
    </w:div>
    <w:div w:id="468786827">
      <w:bodyDiv w:val="1"/>
      <w:marLeft w:val="0"/>
      <w:marRight w:val="0"/>
      <w:marTop w:val="0"/>
      <w:marBottom w:val="0"/>
      <w:divBdr>
        <w:top w:val="none" w:sz="0" w:space="0" w:color="auto"/>
        <w:left w:val="none" w:sz="0" w:space="0" w:color="auto"/>
        <w:bottom w:val="none" w:sz="0" w:space="0" w:color="auto"/>
        <w:right w:val="none" w:sz="0" w:space="0" w:color="auto"/>
      </w:divBdr>
    </w:div>
    <w:div w:id="532353868">
      <w:bodyDiv w:val="1"/>
      <w:marLeft w:val="0"/>
      <w:marRight w:val="0"/>
      <w:marTop w:val="0"/>
      <w:marBottom w:val="0"/>
      <w:divBdr>
        <w:top w:val="none" w:sz="0" w:space="0" w:color="auto"/>
        <w:left w:val="none" w:sz="0" w:space="0" w:color="auto"/>
        <w:bottom w:val="none" w:sz="0" w:space="0" w:color="auto"/>
        <w:right w:val="none" w:sz="0" w:space="0" w:color="auto"/>
      </w:divBdr>
    </w:div>
    <w:div w:id="890071395">
      <w:bodyDiv w:val="1"/>
      <w:marLeft w:val="0"/>
      <w:marRight w:val="0"/>
      <w:marTop w:val="0"/>
      <w:marBottom w:val="0"/>
      <w:divBdr>
        <w:top w:val="none" w:sz="0" w:space="0" w:color="auto"/>
        <w:left w:val="none" w:sz="0" w:space="0" w:color="auto"/>
        <w:bottom w:val="none" w:sz="0" w:space="0" w:color="auto"/>
        <w:right w:val="none" w:sz="0" w:space="0" w:color="auto"/>
      </w:divBdr>
    </w:div>
    <w:div w:id="1070347596">
      <w:bodyDiv w:val="1"/>
      <w:marLeft w:val="0"/>
      <w:marRight w:val="0"/>
      <w:marTop w:val="0"/>
      <w:marBottom w:val="0"/>
      <w:divBdr>
        <w:top w:val="none" w:sz="0" w:space="0" w:color="auto"/>
        <w:left w:val="none" w:sz="0" w:space="0" w:color="auto"/>
        <w:bottom w:val="none" w:sz="0" w:space="0" w:color="auto"/>
        <w:right w:val="none" w:sz="0" w:space="0" w:color="auto"/>
      </w:divBdr>
    </w:div>
    <w:div w:id="1108888794">
      <w:bodyDiv w:val="1"/>
      <w:marLeft w:val="0"/>
      <w:marRight w:val="0"/>
      <w:marTop w:val="0"/>
      <w:marBottom w:val="0"/>
      <w:divBdr>
        <w:top w:val="none" w:sz="0" w:space="0" w:color="auto"/>
        <w:left w:val="none" w:sz="0" w:space="0" w:color="auto"/>
        <w:bottom w:val="none" w:sz="0" w:space="0" w:color="auto"/>
        <w:right w:val="none" w:sz="0" w:space="0" w:color="auto"/>
      </w:divBdr>
    </w:div>
    <w:div w:id="1240752044">
      <w:bodyDiv w:val="1"/>
      <w:marLeft w:val="0"/>
      <w:marRight w:val="0"/>
      <w:marTop w:val="0"/>
      <w:marBottom w:val="0"/>
      <w:divBdr>
        <w:top w:val="none" w:sz="0" w:space="0" w:color="auto"/>
        <w:left w:val="none" w:sz="0" w:space="0" w:color="auto"/>
        <w:bottom w:val="none" w:sz="0" w:space="0" w:color="auto"/>
        <w:right w:val="none" w:sz="0" w:space="0" w:color="auto"/>
      </w:divBdr>
    </w:div>
    <w:div w:id="1422222028">
      <w:bodyDiv w:val="1"/>
      <w:marLeft w:val="0"/>
      <w:marRight w:val="0"/>
      <w:marTop w:val="0"/>
      <w:marBottom w:val="0"/>
      <w:divBdr>
        <w:top w:val="none" w:sz="0" w:space="0" w:color="auto"/>
        <w:left w:val="none" w:sz="0" w:space="0" w:color="auto"/>
        <w:bottom w:val="none" w:sz="0" w:space="0" w:color="auto"/>
        <w:right w:val="none" w:sz="0" w:space="0" w:color="auto"/>
      </w:divBdr>
    </w:div>
    <w:div w:id="1526095297">
      <w:bodyDiv w:val="1"/>
      <w:marLeft w:val="0"/>
      <w:marRight w:val="0"/>
      <w:marTop w:val="0"/>
      <w:marBottom w:val="0"/>
      <w:divBdr>
        <w:top w:val="none" w:sz="0" w:space="0" w:color="auto"/>
        <w:left w:val="none" w:sz="0" w:space="0" w:color="auto"/>
        <w:bottom w:val="none" w:sz="0" w:space="0" w:color="auto"/>
        <w:right w:val="none" w:sz="0" w:space="0" w:color="auto"/>
      </w:divBdr>
    </w:div>
    <w:div w:id="1626543449">
      <w:bodyDiv w:val="1"/>
      <w:marLeft w:val="0"/>
      <w:marRight w:val="0"/>
      <w:marTop w:val="0"/>
      <w:marBottom w:val="0"/>
      <w:divBdr>
        <w:top w:val="none" w:sz="0" w:space="0" w:color="auto"/>
        <w:left w:val="none" w:sz="0" w:space="0" w:color="auto"/>
        <w:bottom w:val="none" w:sz="0" w:space="0" w:color="auto"/>
        <w:right w:val="none" w:sz="0" w:space="0" w:color="auto"/>
      </w:divBdr>
    </w:div>
    <w:div w:id="1817183544">
      <w:bodyDiv w:val="1"/>
      <w:marLeft w:val="0"/>
      <w:marRight w:val="0"/>
      <w:marTop w:val="0"/>
      <w:marBottom w:val="0"/>
      <w:divBdr>
        <w:top w:val="none" w:sz="0" w:space="0" w:color="auto"/>
        <w:left w:val="none" w:sz="0" w:space="0" w:color="auto"/>
        <w:bottom w:val="none" w:sz="0" w:space="0" w:color="auto"/>
        <w:right w:val="none" w:sz="0" w:space="0" w:color="auto"/>
      </w:divBdr>
    </w:div>
    <w:div w:id="18384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佐倉　由佳</cp:lastModifiedBy>
  <cp:revision>8</cp:revision>
  <dcterms:created xsi:type="dcterms:W3CDTF">2021-03-08T06:27:00Z</dcterms:created>
  <dcterms:modified xsi:type="dcterms:W3CDTF">2023-04-21T07:08:00Z</dcterms:modified>
</cp:coreProperties>
</file>