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C7" w:rsidRPr="003669C7" w:rsidRDefault="003669C7" w:rsidP="003669C7">
      <w:pPr>
        <w:widowControl/>
        <w:jc w:val="right"/>
        <w:rPr>
          <w:rFonts w:ascii="ＭＳ ゴシック" w:eastAsia="ＭＳ ゴシック" w:hAnsi="ＭＳ ゴシック" w:cs="‚l‚r –¾’©"/>
          <w:kern w:val="0"/>
          <w:szCs w:val="21"/>
        </w:rPr>
      </w:pPr>
      <w:r w:rsidRPr="003669C7">
        <w:rPr>
          <w:rFonts w:ascii="ＭＳ ゴシック" w:eastAsia="ＭＳ ゴシック" w:hAnsi="ＭＳ ゴシック" w:cs="‚l‚r –¾’©" w:hint="eastAsia"/>
          <w:kern w:val="0"/>
          <w:szCs w:val="21"/>
        </w:rPr>
        <w:t>（</w:t>
      </w:r>
      <w:r w:rsidRPr="003669C7">
        <w:rPr>
          <w:rFonts w:ascii="ＭＳ ゴシック" w:eastAsia="ＭＳ ゴシック" w:hAnsi="ＭＳ ゴシック" w:cs="‚l‚r –¾’©" w:hint="eastAsia"/>
          <w:kern w:val="0"/>
          <w:szCs w:val="21"/>
        </w:rPr>
        <w:t>別紙</w:t>
      </w:r>
      <w:r w:rsidRPr="003669C7">
        <w:rPr>
          <w:rFonts w:ascii="ＭＳ ゴシック" w:eastAsia="ＭＳ ゴシック" w:hAnsi="ＭＳ ゴシック" w:cs="‚l‚r –¾’©" w:hint="eastAsia"/>
          <w:kern w:val="0"/>
          <w:szCs w:val="21"/>
        </w:rPr>
        <w:t>３）</w:t>
      </w:r>
    </w:p>
    <w:p w:rsidR="003669C7" w:rsidRPr="00DB5D94" w:rsidRDefault="003669C7" w:rsidP="003669C7">
      <w:pPr>
        <w:jc w:val="left"/>
        <w:rPr>
          <w:rFonts w:ascii="ＭＳ ゴシック" w:eastAsia="ＭＳ ゴシック" w:hAnsi="ＭＳ ゴシック" w:cs="‚l‚r –¾’©"/>
          <w:b/>
          <w:kern w:val="0"/>
          <w:szCs w:val="21"/>
        </w:rPr>
      </w:pPr>
      <w:r w:rsidRPr="00DB5D94">
        <w:rPr>
          <w:rFonts w:ascii="ＭＳ ゴシック" w:eastAsia="ＭＳ ゴシック" w:hAnsi="ＭＳ ゴシック" w:cs="‚l‚r –¾’©" w:hint="eastAsia"/>
          <w:b/>
          <w:kern w:val="0"/>
          <w:szCs w:val="21"/>
        </w:rPr>
        <w:t>【リスク分担表】○印が、リスク負担者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811"/>
        <w:gridCol w:w="851"/>
        <w:gridCol w:w="850"/>
      </w:tblGrid>
      <w:tr w:rsidR="003669C7" w:rsidRPr="003B3655" w:rsidTr="00F775BF">
        <w:trPr>
          <w:cantSplit/>
        </w:trPr>
        <w:tc>
          <w:tcPr>
            <w:tcW w:w="2122" w:type="dxa"/>
            <w:vMerge w:val="restart"/>
            <w:vAlign w:val="center"/>
          </w:tcPr>
          <w:p w:rsidR="003669C7" w:rsidRPr="003B3655" w:rsidRDefault="003669C7" w:rsidP="00F775BF">
            <w:pPr>
              <w:spacing w:line="240" w:lineRule="exact"/>
              <w:rPr>
                <w:rFonts w:asciiTheme="minorEastAsia" w:hAnsiTheme="minorEastAsia"/>
                <w:sz w:val="16"/>
                <w:szCs w:val="16"/>
              </w:rPr>
            </w:pPr>
            <w:r w:rsidRPr="003B3655">
              <w:rPr>
                <w:rFonts w:asciiTheme="minorEastAsia" w:hAnsiTheme="minorEastAsia" w:hint="eastAsia"/>
                <w:sz w:val="16"/>
                <w:szCs w:val="16"/>
              </w:rPr>
              <w:t>種類</w:t>
            </w:r>
          </w:p>
        </w:tc>
        <w:tc>
          <w:tcPr>
            <w:tcW w:w="5811" w:type="dxa"/>
            <w:vMerge w:val="restart"/>
            <w:vAlign w:val="center"/>
          </w:tcPr>
          <w:p w:rsidR="003669C7" w:rsidRPr="003B3655" w:rsidRDefault="003669C7" w:rsidP="00F775BF">
            <w:pPr>
              <w:spacing w:line="240" w:lineRule="exact"/>
              <w:rPr>
                <w:rFonts w:asciiTheme="minorEastAsia" w:hAnsiTheme="minorEastAsia"/>
                <w:sz w:val="16"/>
                <w:szCs w:val="16"/>
              </w:rPr>
            </w:pPr>
            <w:r w:rsidRPr="003B3655">
              <w:rPr>
                <w:rFonts w:asciiTheme="minorEastAsia" w:hAnsiTheme="minorEastAsia" w:hint="eastAsia"/>
                <w:sz w:val="16"/>
                <w:szCs w:val="16"/>
              </w:rPr>
              <w:t>内容</w:t>
            </w:r>
          </w:p>
        </w:tc>
        <w:tc>
          <w:tcPr>
            <w:tcW w:w="1701" w:type="dxa"/>
            <w:gridSpan w:val="2"/>
          </w:tcPr>
          <w:p w:rsidR="003669C7" w:rsidRPr="003B3655" w:rsidRDefault="003669C7" w:rsidP="00F775BF">
            <w:pPr>
              <w:spacing w:line="240" w:lineRule="exact"/>
              <w:rPr>
                <w:rFonts w:asciiTheme="minorEastAsia" w:hAnsiTheme="minorEastAsia"/>
                <w:sz w:val="16"/>
                <w:szCs w:val="16"/>
              </w:rPr>
            </w:pPr>
            <w:r w:rsidRPr="003B3655">
              <w:rPr>
                <w:rFonts w:asciiTheme="minorEastAsia" w:hAnsiTheme="minorEastAsia" w:hint="eastAsia"/>
                <w:sz w:val="16"/>
                <w:szCs w:val="16"/>
              </w:rPr>
              <w:t>負担者</w:t>
            </w:r>
          </w:p>
        </w:tc>
      </w:tr>
      <w:tr w:rsidR="003669C7" w:rsidRPr="003B3655" w:rsidTr="00F775BF">
        <w:trPr>
          <w:cantSplit/>
          <w:trHeight w:val="160"/>
        </w:trPr>
        <w:tc>
          <w:tcPr>
            <w:tcW w:w="2122" w:type="dxa"/>
            <w:vMerge/>
          </w:tcPr>
          <w:p w:rsidR="003669C7" w:rsidRPr="003B3655" w:rsidRDefault="003669C7" w:rsidP="00F775BF">
            <w:pPr>
              <w:spacing w:line="240" w:lineRule="exact"/>
              <w:rPr>
                <w:rFonts w:asciiTheme="minorEastAsia" w:hAnsiTheme="minorEastAsia"/>
                <w:sz w:val="16"/>
                <w:szCs w:val="16"/>
              </w:rPr>
            </w:pPr>
          </w:p>
        </w:tc>
        <w:tc>
          <w:tcPr>
            <w:tcW w:w="5811" w:type="dxa"/>
            <w:vMerge/>
          </w:tcPr>
          <w:p w:rsidR="003669C7" w:rsidRPr="003B3655" w:rsidRDefault="003669C7" w:rsidP="00F775BF">
            <w:pPr>
              <w:spacing w:line="240" w:lineRule="exact"/>
              <w:rPr>
                <w:rFonts w:asciiTheme="minorEastAsia" w:hAnsiTheme="minorEastAsia"/>
                <w:sz w:val="16"/>
                <w:szCs w:val="16"/>
              </w:rPr>
            </w:pPr>
          </w:p>
        </w:tc>
        <w:tc>
          <w:tcPr>
            <w:tcW w:w="851" w:type="dxa"/>
          </w:tcPr>
          <w:p w:rsidR="003669C7" w:rsidRPr="003B3655" w:rsidRDefault="003669C7" w:rsidP="00F775BF">
            <w:pPr>
              <w:spacing w:line="240" w:lineRule="exact"/>
              <w:rPr>
                <w:rFonts w:asciiTheme="minorEastAsia" w:hAnsiTheme="minorEastAsia"/>
                <w:sz w:val="16"/>
                <w:szCs w:val="16"/>
              </w:rPr>
            </w:pPr>
            <w:r>
              <w:rPr>
                <w:rFonts w:asciiTheme="minorEastAsia" w:hAnsiTheme="minorEastAsia" w:hint="eastAsia"/>
                <w:sz w:val="16"/>
                <w:szCs w:val="16"/>
              </w:rPr>
              <w:t>大阪府</w:t>
            </w:r>
          </w:p>
        </w:tc>
        <w:tc>
          <w:tcPr>
            <w:tcW w:w="850" w:type="dxa"/>
          </w:tcPr>
          <w:p w:rsidR="003669C7" w:rsidRPr="003B3655" w:rsidRDefault="003669C7" w:rsidP="00F775BF">
            <w:pPr>
              <w:spacing w:line="240" w:lineRule="exact"/>
              <w:rPr>
                <w:rFonts w:asciiTheme="minorEastAsia" w:hAnsiTheme="minorEastAsia"/>
                <w:sz w:val="16"/>
                <w:szCs w:val="16"/>
              </w:rPr>
            </w:pPr>
            <w:r w:rsidRPr="003B3655">
              <w:rPr>
                <w:rFonts w:asciiTheme="minorEastAsia" w:hAnsiTheme="minorEastAsia" w:hint="eastAsia"/>
                <w:sz w:val="16"/>
                <w:szCs w:val="16"/>
              </w:rPr>
              <w:t>指定管理者</w:t>
            </w:r>
          </w:p>
        </w:tc>
      </w:tr>
      <w:tr w:rsidR="003669C7" w:rsidRPr="003B3655" w:rsidTr="00F775BF">
        <w:trPr>
          <w:cantSplit/>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法令の変更</w:t>
            </w: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管理運営業務に影響のある法令の変更（他の項目に記載されているものを除く）</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金利・物価</w:t>
            </w: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金利および物価の変動</w:t>
            </w:r>
            <w:r w:rsidRPr="003967B4">
              <w:rPr>
                <w:rFonts w:asciiTheme="minorEastAsia" w:hAnsiTheme="minorEastAsia" w:hint="eastAsia"/>
                <w:sz w:val="16"/>
                <w:szCs w:val="16"/>
              </w:rPr>
              <w:t>(*</w:t>
            </w:r>
            <w:r>
              <w:rPr>
                <w:rFonts w:asciiTheme="minorEastAsia" w:hAnsiTheme="minorEastAsia" w:hint="eastAsia"/>
                <w:sz w:val="16"/>
                <w:szCs w:val="16"/>
              </w:rPr>
              <w:t>１</w:t>
            </w:r>
            <w:r w:rsidRPr="003967B4">
              <w:rPr>
                <w:rFonts w:asciiTheme="minorEastAsia" w:hAnsiTheme="minorEastAsia" w:hint="eastAsia"/>
                <w:sz w:val="16"/>
                <w:szCs w:val="16"/>
              </w:rPr>
              <w:t>)</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許認可の取得</w:t>
            </w: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管理運営業務に必要な許認可取得の遅延</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資金調達</w:t>
            </w: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必要な資金確保</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周辺地域・住民・利用者への対応</w:t>
            </w: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施設利用者及び地域住民などからの苦情等対応</w:t>
            </w:r>
          </w:p>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地域との協調</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Height w:val="301"/>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安全性の確保</w:t>
            </w: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管理運営業務における安全性の確保及び周辺環境の保全（応急措置を含む）</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vMerge w:val="restart"/>
            <w:tcBorders>
              <w:top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管理運営業務および事業の中止・延期</w:t>
            </w:r>
          </w:p>
        </w:tc>
        <w:tc>
          <w:tcPr>
            <w:tcW w:w="5811" w:type="dxa"/>
            <w:tcBorders>
              <w:top w:val="single" w:sz="4" w:space="0" w:color="auto"/>
            </w:tcBorders>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教育委員会の責任による中止・延期</w:t>
            </w:r>
          </w:p>
        </w:tc>
        <w:tc>
          <w:tcPr>
            <w:tcW w:w="851" w:type="dxa"/>
            <w:tcBorders>
              <w:top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c>
          <w:tcPr>
            <w:tcW w:w="850" w:type="dxa"/>
            <w:tcBorders>
              <w:top w:val="single" w:sz="4" w:space="0" w:color="auto"/>
              <w:right w:val="single" w:sz="4" w:space="0" w:color="auto"/>
            </w:tcBorders>
            <w:vAlign w:val="center"/>
          </w:tcPr>
          <w:p w:rsidR="003669C7" w:rsidRPr="003B3655" w:rsidRDefault="003669C7" w:rsidP="00F775BF">
            <w:pPr>
              <w:rPr>
                <w:rFonts w:asciiTheme="minorEastAsia" w:hAnsiTheme="minorEastAsia"/>
                <w:sz w:val="16"/>
                <w:szCs w:val="16"/>
              </w:rPr>
            </w:pPr>
          </w:p>
        </w:tc>
      </w:tr>
      <w:tr w:rsidR="003669C7" w:rsidRPr="003B3655" w:rsidTr="00F775BF">
        <w:trPr>
          <w:cantSplit/>
        </w:trPr>
        <w:tc>
          <w:tcPr>
            <w:tcW w:w="2122" w:type="dxa"/>
            <w:vMerge/>
          </w:tcPr>
          <w:p w:rsidR="003669C7" w:rsidRPr="003B3655" w:rsidRDefault="003669C7" w:rsidP="00F775BF">
            <w:pPr>
              <w:rPr>
                <w:rFonts w:asciiTheme="minorEastAsia" w:hAnsiTheme="minorEastAsia"/>
                <w:sz w:val="16"/>
                <w:szCs w:val="16"/>
              </w:rPr>
            </w:pPr>
          </w:p>
        </w:tc>
        <w:tc>
          <w:tcPr>
            <w:tcW w:w="5811" w:type="dxa"/>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指定管理者の責任による中止・延期</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tcBorders>
              <w:right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vMerge/>
          </w:tcPr>
          <w:p w:rsidR="003669C7" w:rsidRPr="003B3655" w:rsidRDefault="003669C7" w:rsidP="00F775BF">
            <w:pPr>
              <w:rPr>
                <w:rFonts w:asciiTheme="minorEastAsia" w:hAnsiTheme="minorEastAsia"/>
                <w:sz w:val="16"/>
                <w:szCs w:val="16"/>
              </w:rPr>
            </w:pPr>
          </w:p>
        </w:tc>
        <w:tc>
          <w:tcPr>
            <w:tcW w:w="5811" w:type="dxa"/>
            <w:tcBorders>
              <w:bottom w:val="single" w:sz="4" w:space="0" w:color="auto"/>
            </w:tcBorders>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指定管理者の事業放棄・破綻</w:t>
            </w:r>
          </w:p>
        </w:tc>
        <w:tc>
          <w:tcPr>
            <w:tcW w:w="851" w:type="dxa"/>
            <w:tcBorders>
              <w:bottom w:val="single" w:sz="4" w:space="0" w:color="auto"/>
            </w:tcBorders>
            <w:vAlign w:val="center"/>
          </w:tcPr>
          <w:p w:rsidR="003669C7" w:rsidRPr="003B3655" w:rsidRDefault="003669C7" w:rsidP="00F775BF">
            <w:pPr>
              <w:rPr>
                <w:rFonts w:asciiTheme="minorEastAsia" w:hAnsiTheme="minorEastAsia"/>
                <w:sz w:val="16"/>
                <w:szCs w:val="16"/>
              </w:rPr>
            </w:pPr>
          </w:p>
        </w:tc>
        <w:tc>
          <w:tcPr>
            <w:tcW w:w="850" w:type="dxa"/>
            <w:tcBorders>
              <w:bottom w:val="single" w:sz="4" w:space="0" w:color="auto"/>
              <w:right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Pr>
        <w:tc>
          <w:tcPr>
            <w:tcW w:w="2122" w:type="dxa"/>
            <w:vMerge/>
            <w:tcBorders>
              <w:bottom w:val="single" w:sz="4" w:space="0" w:color="auto"/>
            </w:tcBorders>
          </w:tcPr>
          <w:p w:rsidR="003669C7" w:rsidRPr="003B3655" w:rsidRDefault="003669C7" w:rsidP="00F775BF">
            <w:pPr>
              <w:rPr>
                <w:rFonts w:asciiTheme="minorEastAsia" w:hAnsiTheme="minorEastAsia"/>
                <w:sz w:val="16"/>
                <w:szCs w:val="16"/>
              </w:rPr>
            </w:pPr>
          </w:p>
        </w:tc>
        <w:tc>
          <w:tcPr>
            <w:tcW w:w="5811" w:type="dxa"/>
            <w:tcBorders>
              <w:bottom w:val="single" w:sz="4" w:space="0" w:color="auto"/>
            </w:tcBorders>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上記以外の場合</w:t>
            </w:r>
          </w:p>
        </w:tc>
        <w:tc>
          <w:tcPr>
            <w:tcW w:w="851" w:type="dxa"/>
            <w:tcBorders>
              <w:bottom w:val="single" w:sz="4" w:space="0" w:color="auto"/>
            </w:tcBorders>
            <w:vAlign w:val="center"/>
          </w:tcPr>
          <w:p w:rsidR="003669C7" w:rsidRPr="003B3655" w:rsidRDefault="003669C7" w:rsidP="00F775BF">
            <w:pPr>
              <w:rPr>
                <w:rFonts w:asciiTheme="minorEastAsia" w:hAnsiTheme="minorEastAsia"/>
                <w:sz w:val="16"/>
                <w:szCs w:val="16"/>
              </w:rPr>
            </w:pPr>
          </w:p>
        </w:tc>
        <w:tc>
          <w:tcPr>
            <w:tcW w:w="850" w:type="dxa"/>
            <w:tcBorders>
              <w:bottom w:val="single" w:sz="4" w:space="0" w:color="auto"/>
              <w:right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trHeight w:val="156"/>
        </w:trPr>
        <w:tc>
          <w:tcPr>
            <w:tcW w:w="2122" w:type="dxa"/>
            <w:tcBorders>
              <w:top w:val="single" w:sz="4" w:space="0" w:color="auto"/>
            </w:tcBorders>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応募コスト</w:t>
            </w:r>
          </w:p>
        </w:tc>
        <w:tc>
          <w:tcPr>
            <w:tcW w:w="5811" w:type="dxa"/>
            <w:tcBorders>
              <w:top w:val="single" w:sz="4" w:space="0" w:color="auto"/>
            </w:tcBorders>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応募コストの負担</w:t>
            </w:r>
          </w:p>
        </w:tc>
        <w:tc>
          <w:tcPr>
            <w:tcW w:w="851" w:type="dxa"/>
            <w:tcBorders>
              <w:top w:val="single" w:sz="4" w:space="0" w:color="auto"/>
            </w:tcBorders>
            <w:vAlign w:val="center"/>
          </w:tcPr>
          <w:p w:rsidR="003669C7" w:rsidRPr="003B3655" w:rsidRDefault="003669C7" w:rsidP="00F775BF">
            <w:pPr>
              <w:rPr>
                <w:rFonts w:asciiTheme="minorEastAsia" w:hAnsiTheme="minorEastAsia"/>
                <w:sz w:val="16"/>
                <w:szCs w:val="16"/>
              </w:rPr>
            </w:pPr>
          </w:p>
        </w:tc>
        <w:tc>
          <w:tcPr>
            <w:tcW w:w="850" w:type="dxa"/>
            <w:tcBorders>
              <w:top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trHeight w:val="322"/>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引継コスト</w:t>
            </w: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前指定管理者からの施設運営の引継ぎおよび指定管理者交代に伴う新指定管理者への引継ぎに必要なコストの負担</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trHeight w:val="315"/>
        </w:trPr>
        <w:tc>
          <w:tcPr>
            <w:tcW w:w="2122" w:type="dxa"/>
            <w:vMerge w:val="restart"/>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維持補修</w:t>
            </w: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指定管理者の発意により行う施設・設備・外構の維持補修</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trHeight w:val="253"/>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教育委員会の発意により行う施設・設備・外構の維持補修</w:t>
            </w:r>
          </w:p>
        </w:tc>
        <w:tc>
          <w:tcPr>
            <w:tcW w:w="85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c>
          <w:tcPr>
            <w:tcW w:w="850" w:type="dxa"/>
            <w:vAlign w:val="center"/>
          </w:tcPr>
          <w:p w:rsidR="003669C7" w:rsidRPr="003B3655" w:rsidRDefault="003669C7" w:rsidP="00F775BF">
            <w:pPr>
              <w:rPr>
                <w:rFonts w:asciiTheme="minorEastAsia" w:hAnsiTheme="minorEastAsia"/>
                <w:sz w:val="16"/>
                <w:szCs w:val="16"/>
              </w:rPr>
            </w:pPr>
          </w:p>
        </w:tc>
      </w:tr>
      <w:tr w:rsidR="003669C7" w:rsidRPr="003B3655" w:rsidTr="00F775BF">
        <w:trPr>
          <w:trHeight w:val="253"/>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 xml:space="preserve">施設・設備・外構の保守点検、法定点検、日常の維持補修及び小規模の災害による維持補修 </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trHeight w:val="166"/>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施設・設備・外構の経年劣化によって必要となる大補修</w:t>
            </w:r>
          </w:p>
        </w:tc>
        <w:tc>
          <w:tcPr>
            <w:tcW w:w="85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c>
          <w:tcPr>
            <w:tcW w:w="850" w:type="dxa"/>
            <w:vAlign w:val="center"/>
          </w:tcPr>
          <w:p w:rsidR="003669C7" w:rsidRPr="003B3655" w:rsidRDefault="003669C7" w:rsidP="00F775BF">
            <w:pPr>
              <w:rPr>
                <w:rFonts w:asciiTheme="minorEastAsia" w:hAnsiTheme="minorEastAsia"/>
                <w:sz w:val="16"/>
                <w:szCs w:val="16"/>
              </w:rPr>
            </w:pPr>
          </w:p>
        </w:tc>
      </w:tr>
      <w:tr w:rsidR="003669C7" w:rsidRPr="003B3655" w:rsidTr="00F775BF">
        <w:trPr>
          <w:cantSplit/>
          <w:trHeight w:val="315"/>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指定管理者の責によって必要となる施設・設備・外構の補修</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Height w:val="315"/>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tcBorders>
              <w:bottom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法令改正により必要となった施設躯体の維持補修（施設利用者の生命身体の安全確保を目的として施設躯体の改修が必要となった場合）</w:t>
            </w:r>
          </w:p>
        </w:tc>
        <w:tc>
          <w:tcPr>
            <w:tcW w:w="851" w:type="dxa"/>
            <w:tcBorders>
              <w:bottom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c>
          <w:tcPr>
            <w:tcW w:w="850" w:type="dxa"/>
            <w:tcBorders>
              <w:bottom w:val="single" w:sz="4" w:space="0" w:color="auto"/>
            </w:tcBorders>
            <w:vAlign w:val="center"/>
          </w:tcPr>
          <w:p w:rsidR="003669C7" w:rsidRPr="003B3655" w:rsidRDefault="003669C7" w:rsidP="00F775BF">
            <w:pPr>
              <w:rPr>
                <w:rFonts w:asciiTheme="minorEastAsia" w:hAnsiTheme="minorEastAsia"/>
                <w:sz w:val="16"/>
                <w:szCs w:val="16"/>
              </w:rPr>
            </w:pPr>
          </w:p>
        </w:tc>
      </w:tr>
      <w:tr w:rsidR="003669C7" w:rsidRPr="003B3655" w:rsidTr="00F775BF">
        <w:trPr>
          <w:cantSplit/>
          <w:trHeight w:val="315"/>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tcBorders>
              <w:bottom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大規模な災害を原因とする施設・設備・外構の補修</w:t>
            </w:r>
          </w:p>
        </w:tc>
        <w:tc>
          <w:tcPr>
            <w:tcW w:w="851" w:type="dxa"/>
            <w:tcBorders>
              <w:bottom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c>
          <w:tcPr>
            <w:tcW w:w="850" w:type="dxa"/>
            <w:tcBorders>
              <w:bottom w:val="single" w:sz="4" w:space="0" w:color="auto"/>
            </w:tcBorders>
            <w:vAlign w:val="center"/>
          </w:tcPr>
          <w:p w:rsidR="003669C7" w:rsidRPr="003B3655" w:rsidRDefault="003669C7" w:rsidP="00F775BF">
            <w:pPr>
              <w:rPr>
                <w:rFonts w:asciiTheme="minorEastAsia" w:hAnsiTheme="minorEastAsia"/>
                <w:sz w:val="16"/>
                <w:szCs w:val="16"/>
              </w:rPr>
            </w:pPr>
          </w:p>
        </w:tc>
      </w:tr>
      <w:tr w:rsidR="003669C7" w:rsidRPr="003B3655" w:rsidTr="00F775BF">
        <w:trPr>
          <w:cantSplit/>
          <w:trHeight w:val="88"/>
        </w:trPr>
        <w:tc>
          <w:tcPr>
            <w:tcW w:w="2122" w:type="dxa"/>
            <w:vMerge/>
            <w:vAlign w:val="center"/>
          </w:tcPr>
          <w:p w:rsidR="003669C7" w:rsidRPr="003B3655" w:rsidRDefault="003669C7" w:rsidP="00F775BF">
            <w:pPr>
              <w:rPr>
                <w:rFonts w:asciiTheme="minorEastAsia" w:hAnsiTheme="minorEastAsia"/>
                <w:sz w:val="16"/>
                <w:szCs w:val="16"/>
              </w:rPr>
            </w:pPr>
          </w:p>
        </w:tc>
        <w:tc>
          <w:tcPr>
            <w:tcW w:w="5811" w:type="dxa"/>
            <w:tcBorders>
              <w:top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第三者による事故等を原因とする施設・設備・外構の補修</w:t>
            </w:r>
          </w:p>
        </w:tc>
        <w:tc>
          <w:tcPr>
            <w:tcW w:w="851" w:type="dxa"/>
            <w:tcBorders>
              <w:top w:val="single" w:sz="4" w:space="0" w:color="auto"/>
            </w:tcBorders>
            <w:vAlign w:val="center"/>
          </w:tcPr>
          <w:p w:rsidR="003669C7" w:rsidRPr="003B3655" w:rsidRDefault="003669C7" w:rsidP="00F775BF">
            <w:pPr>
              <w:rPr>
                <w:rFonts w:asciiTheme="minorEastAsia" w:hAnsiTheme="minorEastAsia"/>
                <w:sz w:val="16"/>
                <w:szCs w:val="16"/>
              </w:rPr>
            </w:pPr>
          </w:p>
        </w:tc>
        <w:tc>
          <w:tcPr>
            <w:tcW w:w="850" w:type="dxa"/>
            <w:tcBorders>
              <w:top w:val="single" w:sz="4" w:space="0" w:color="auto"/>
              <w:right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Height w:val="398"/>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宣伝広告</w:t>
            </w:r>
          </w:p>
        </w:tc>
        <w:tc>
          <w:tcPr>
            <w:tcW w:w="5811" w:type="dxa"/>
            <w:tcBorders>
              <w:top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管理運営業務に関する一切の宣伝・広告費</w:t>
            </w:r>
          </w:p>
        </w:tc>
        <w:tc>
          <w:tcPr>
            <w:tcW w:w="851" w:type="dxa"/>
            <w:tcBorders>
              <w:top w:val="single" w:sz="4" w:space="0" w:color="auto"/>
            </w:tcBorders>
            <w:vAlign w:val="center"/>
          </w:tcPr>
          <w:p w:rsidR="003669C7" w:rsidRPr="003B3655" w:rsidRDefault="003669C7" w:rsidP="00F775BF">
            <w:pPr>
              <w:rPr>
                <w:rFonts w:asciiTheme="minorEastAsia" w:hAnsiTheme="minorEastAsia"/>
                <w:sz w:val="16"/>
                <w:szCs w:val="16"/>
              </w:rPr>
            </w:pPr>
          </w:p>
        </w:tc>
        <w:tc>
          <w:tcPr>
            <w:tcW w:w="850" w:type="dxa"/>
            <w:tcBorders>
              <w:top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Height w:val="315"/>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資料の作成</w:t>
            </w: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教育委員会の求めによる管理運営業務に関する資料の作成</w:t>
            </w:r>
          </w:p>
        </w:tc>
        <w:tc>
          <w:tcPr>
            <w:tcW w:w="851" w:type="dxa"/>
            <w:tcBorders>
              <w:bottom w:val="single" w:sz="4" w:space="0" w:color="auto"/>
            </w:tcBorders>
            <w:vAlign w:val="center"/>
          </w:tcPr>
          <w:p w:rsidR="003669C7" w:rsidRPr="003B3655" w:rsidRDefault="003669C7" w:rsidP="00F775BF">
            <w:pPr>
              <w:rPr>
                <w:rFonts w:asciiTheme="minorEastAsia" w:hAnsiTheme="minorEastAsia"/>
                <w:sz w:val="16"/>
                <w:szCs w:val="16"/>
              </w:rPr>
            </w:pPr>
          </w:p>
        </w:tc>
        <w:tc>
          <w:tcPr>
            <w:tcW w:w="850" w:type="dxa"/>
            <w:tcBorders>
              <w:bottom w:val="single" w:sz="4" w:space="0" w:color="auto"/>
            </w:tcBorders>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Height w:val="315"/>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運営の改善</w:t>
            </w: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指定管理者評価委員会(*</w:t>
            </w:r>
            <w:r>
              <w:rPr>
                <w:rFonts w:asciiTheme="minorEastAsia" w:hAnsiTheme="minorEastAsia" w:hint="eastAsia"/>
                <w:sz w:val="16"/>
                <w:szCs w:val="16"/>
              </w:rPr>
              <w:t>２</w:t>
            </w:r>
            <w:r w:rsidRPr="003B3655">
              <w:rPr>
                <w:rFonts w:asciiTheme="minorEastAsia" w:hAnsiTheme="minorEastAsia" w:hint="eastAsia"/>
                <w:sz w:val="16"/>
                <w:szCs w:val="16"/>
              </w:rPr>
              <w:t>)</w:t>
            </w:r>
            <w:r>
              <w:rPr>
                <w:rFonts w:asciiTheme="minorEastAsia" w:hAnsiTheme="minorEastAsia" w:hint="eastAsia"/>
                <w:sz w:val="16"/>
                <w:szCs w:val="16"/>
              </w:rPr>
              <w:t>の意見等に基づき、大阪府として</w:t>
            </w:r>
            <w:r w:rsidRPr="003B3655">
              <w:rPr>
                <w:rFonts w:asciiTheme="minorEastAsia" w:hAnsiTheme="minorEastAsia" w:hint="eastAsia"/>
                <w:sz w:val="16"/>
                <w:szCs w:val="16"/>
              </w:rPr>
              <w:t>改善</w:t>
            </w:r>
            <w:r>
              <w:rPr>
                <w:rFonts w:asciiTheme="minorEastAsia" w:hAnsiTheme="minorEastAsia" w:hint="eastAsia"/>
                <w:sz w:val="16"/>
                <w:szCs w:val="16"/>
              </w:rPr>
              <w:t>が必要と決定したもの</w:t>
            </w:r>
          </w:p>
        </w:tc>
        <w:tc>
          <w:tcPr>
            <w:tcW w:w="851" w:type="dxa"/>
            <w:vAlign w:val="center"/>
          </w:tcPr>
          <w:p w:rsidR="003669C7" w:rsidRPr="002B73C3"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r w:rsidR="003669C7" w:rsidRPr="003B3655" w:rsidTr="00F775BF">
        <w:trPr>
          <w:cantSplit/>
          <w:trHeight w:val="315"/>
        </w:trPr>
        <w:tc>
          <w:tcPr>
            <w:tcW w:w="2122"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市場環境の変化</w:t>
            </w:r>
          </w:p>
        </w:tc>
        <w:tc>
          <w:tcPr>
            <w:tcW w:w="5811"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利用者の減少、競合施設の増加、需要見込みの誤りその他の事由による経営不振もしくは利用料収入等収益の減少</w:t>
            </w:r>
          </w:p>
        </w:tc>
        <w:tc>
          <w:tcPr>
            <w:tcW w:w="851" w:type="dxa"/>
            <w:vAlign w:val="center"/>
          </w:tcPr>
          <w:p w:rsidR="003669C7" w:rsidRPr="003B3655" w:rsidRDefault="003669C7" w:rsidP="00F775BF">
            <w:pPr>
              <w:rPr>
                <w:rFonts w:asciiTheme="minorEastAsia" w:hAnsiTheme="minorEastAsia"/>
                <w:sz w:val="16"/>
                <w:szCs w:val="16"/>
              </w:rPr>
            </w:pPr>
          </w:p>
        </w:tc>
        <w:tc>
          <w:tcPr>
            <w:tcW w:w="850" w:type="dxa"/>
            <w:vAlign w:val="center"/>
          </w:tcPr>
          <w:p w:rsidR="003669C7" w:rsidRPr="003B3655" w:rsidRDefault="003669C7" w:rsidP="00F775BF">
            <w:pPr>
              <w:rPr>
                <w:rFonts w:asciiTheme="minorEastAsia" w:hAnsiTheme="minorEastAsia"/>
                <w:sz w:val="16"/>
                <w:szCs w:val="16"/>
              </w:rPr>
            </w:pPr>
            <w:r w:rsidRPr="003B3655">
              <w:rPr>
                <w:rFonts w:asciiTheme="minorEastAsia" w:hAnsiTheme="minorEastAsia" w:hint="eastAsia"/>
                <w:sz w:val="16"/>
                <w:szCs w:val="16"/>
              </w:rPr>
              <w:t>○</w:t>
            </w:r>
          </w:p>
        </w:tc>
      </w:tr>
    </w:tbl>
    <w:p w:rsidR="003669C7" w:rsidRDefault="003669C7" w:rsidP="003669C7">
      <w:pPr>
        <w:rPr>
          <w:rFonts w:asciiTheme="minorEastAsia" w:hAnsiTheme="minorEastAsia"/>
          <w:sz w:val="16"/>
          <w:szCs w:val="16"/>
        </w:rPr>
      </w:pPr>
      <w:r w:rsidRPr="00003D33">
        <w:rPr>
          <w:rFonts w:asciiTheme="minorEastAsia" w:hAnsiTheme="minorEastAsia" w:hint="eastAsia"/>
          <w:sz w:val="16"/>
          <w:szCs w:val="16"/>
        </w:rPr>
        <w:t>(*１)通常の範囲内のインフレ（経済成長、通貨供給拡大等）、デフレについては指定管理者の負担とし、急激でかつ通常予測不能な物価変動については協議によりリスクを分担する。</w:t>
      </w:r>
    </w:p>
    <w:p w:rsidR="003669C7" w:rsidRDefault="003669C7" w:rsidP="003669C7">
      <w:pPr>
        <w:rPr>
          <w:rFonts w:asciiTheme="minorEastAsia" w:hAnsiTheme="minorEastAsia"/>
          <w:sz w:val="16"/>
          <w:szCs w:val="16"/>
        </w:rPr>
      </w:pPr>
      <w:r w:rsidRPr="003B3655">
        <w:rPr>
          <w:rFonts w:asciiTheme="minorEastAsia" w:hAnsiTheme="minorEastAsia" w:hint="eastAsia"/>
          <w:sz w:val="16"/>
          <w:szCs w:val="16"/>
        </w:rPr>
        <w:t>(*</w:t>
      </w:r>
      <w:r>
        <w:rPr>
          <w:rFonts w:asciiTheme="minorEastAsia" w:hAnsiTheme="minorEastAsia" w:hint="eastAsia"/>
          <w:sz w:val="16"/>
          <w:szCs w:val="16"/>
        </w:rPr>
        <w:t>２</w:t>
      </w:r>
      <w:r w:rsidRPr="003B3655">
        <w:rPr>
          <w:rFonts w:asciiTheme="minorEastAsia" w:hAnsiTheme="minorEastAsia" w:hint="eastAsia"/>
          <w:sz w:val="16"/>
          <w:szCs w:val="16"/>
        </w:rPr>
        <w:t>) 指定管理者評価委員会とは、大阪府附属機関条例（昭和27年12月22日大阪府条例第39号）第２条第２項で設置される</w:t>
      </w:r>
    </w:p>
    <w:p w:rsidR="00021FD9" w:rsidRPr="003669C7" w:rsidRDefault="003669C7">
      <w:r w:rsidRPr="003B3655">
        <w:rPr>
          <w:rFonts w:asciiTheme="minorEastAsia" w:hAnsiTheme="minorEastAsia" w:hint="eastAsia"/>
          <w:sz w:val="16"/>
          <w:szCs w:val="16"/>
        </w:rPr>
        <w:t>委員会をさすものとする。</w:t>
      </w:r>
      <w:bookmarkStart w:id="0" w:name="_GoBack"/>
      <w:bookmarkEnd w:id="0"/>
    </w:p>
    <w:sectPr w:rsidR="00021FD9" w:rsidRPr="003669C7" w:rsidSect="003669C7">
      <w:pgSz w:w="11906" w:h="16838"/>
      <w:pgMar w:top="1247" w:right="1021"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7"/>
    <w:rsid w:val="00021FD9"/>
    <w:rsid w:val="0036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cp:lastPrinted>2016-03-27T08:12:00Z</cp:lastPrinted>
  <dcterms:created xsi:type="dcterms:W3CDTF">2016-03-27T08:11:00Z</dcterms:created>
  <dcterms:modified xsi:type="dcterms:W3CDTF">2016-03-27T08:13:00Z</dcterms:modified>
</cp:coreProperties>
</file>