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2FE0B" w14:textId="77777777" w:rsidR="00CF7F4B" w:rsidRPr="00614791" w:rsidRDefault="00CF7F4B" w:rsidP="00BE0B03">
      <w:pPr>
        <w:ind w:left="419" w:hangingChars="149" w:hanging="419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Ⅲ</w:t>
      </w:r>
      <w:r w:rsidRPr="00614791">
        <w:rPr>
          <w:rFonts w:hint="eastAsia"/>
          <w:b/>
          <w:sz w:val="28"/>
        </w:rPr>
        <w:t xml:space="preserve">　財　　　　　産</w:t>
      </w:r>
    </w:p>
    <w:p w14:paraId="58A8B3ED" w14:textId="77777777" w:rsidR="00CF7F4B" w:rsidRPr="008A30F4" w:rsidRDefault="00CF7F4B" w:rsidP="008A30F4">
      <w:pPr>
        <w:spacing w:line="360" w:lineRule="auto"/>
        <w:ind w:leftChars="135" w:left="283" w:rightChars="-15" w:right="-31" w:firstLineChars="129" w:firstLine="284"/>
        <w:rPr>
          <w:rFonts w:hAnsi="ＭＳ 明朝"/>
          <w:sz w:val="22"/>
          <w:szCs w:val="22"/>
        </w:rPr>
      </w:pPr>
      <w:r w:rsidRPr="008A30F4">
        <w:rPr>
          <w:rFonts w:hAnsi="ＭＳ 明朝" w:hint="eastAsia"/>
          <w:sz w:val="22"/>
          <w:szCs w:val="22"/>
        </w:rPr>
        <w:t>一般会計、特別会計歳入歳出決算書とともに提出された「財産に関する調書」に基づく府有財産の平成23年度末現在高は次のとおりである。</w:t>
      </w:r>
    </w:p>
    <w:p w14:paraId="5B0B7352" w14:textId="77777777" w:rsidR="00CF7F4B" w:rsidRPr="00376874" w:rsidRDefault="00CF7F4B" w:rsidP="00CF7F4B">
      <w:pPr>
        <w:ind w:leftChars="200" w:left="420" w:firstLineChars="264" w:firstLine="554"/>
      </w:pPr>
    </w:p>
    <w:p w14:paraId="61540407" w14:textId="77777777" w:rsidR="00B765F9" w:rsidRPr="00777764" w:rsidRDefault="00CF7F4B" w:rsidP="00C32FDD">
      <w:pPr>
        <w:ind w:firstLineChars="100" w:firstLine="210"/>
        <w:rPr>
          <w:kern w:val="0"/>
        </w:rPr>
      </w:pPr>
      <w:r w:rsidRPr="00777764">
        <w:rPr>
          <w:rFonts w:hint="eastAsia"/>
        </w:rPr>
        <w:t xml:space="preserve">１　</w:t>
      </w:r>
      <w:r w:rsidRPr="00B765F9">
        <w:rPr>
          <w:rFonts w:hint="eastAsia"/>
          <w:spacing w:val="125"/>
          <w:kern w:val="0"/>
          <w:fitText w:val="1590" w:id="154485760"/>
        </w:rPr>
        <w:t>公有財</w:t>
      </w:r>
      <w:r w:rsidRPr="00B765F9">
        <w:rPr>
          <w:rFonts w:hint="eastAsia"/>
          <w:kern w:val="0"/>
          <w:fitText w:val="1590" w:id="154485760"/>
        </w:rPr>
        <w:t>産</w:t>
      </w:r>
    </w:p>
    <w:p w14:paraId="6F2B6851" w14:textId="77777777" w:rsidR="00B765F9" w:rsidRPr="00777764" w:rsidRDefault="00CA512A" w:rsidP="00B765F9">
      <w:pPr>
        <w:ind w:leftChars="200" w:left="420" w:firstLineChars="2" w:firstLine="4"/>
      </w:pPr>
      <w:r>
        <w:rPr>
          <w:noProof/>
        </w:rPr>
        <w:drawing>
          <wp:inline distT="0" distB="0" distL="0" distR="0" wp14:anchorId="5764DF02" wp14:editId="53CC21B2">
            <wp:extent cx="5705475" cy="4312278"/>
            <wp:effectExtent l="19050" t="0" r="9525" b="0"/>
            <wp:docPr id="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31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DDB37" w14:textId="77777777" w:rsidR="00CF7F4B" w:rsidRPr="000D48EC" w:rsidRDefault="00CF7F4B" w:rsidP="00B765F9">
      <w:pPr>
        <w:ind w:leftChars="200" w:left="420" w:firstLineChars="2" w:firstLine="4"/>
        <w:rPr>
          <w:sz w:val="18"/>
        </w:rPr>
      </w:pPr>
      <w:r w:rsidRPr="00777764">
        <w:rPr>
          <w:rFonts w:hint="eastAsia"/>
          <w:sz w:val="18"/>
        </w:rPr>
        <w:t>注：１　建</w:t>
      </w:r>
      <w:r w:rsidRPr="000D48EC">
        <w:rPr>
          <w:rFonts w:hint="eastAsia"/>
          <w:sz w:val="18"/>
        </w:rPr>
        <w:t>物は延面積で示す。　　　２　立木は推定蓄積量で示す。</w:t>
      </w:r>
    </w:p>
    <w:p w14:paraId="18DFCD7C" w14:textId="77777777" w:rsidR="00CD6912" w:rsidRPr="000D48EC" w:rsidRDefault="00383CD2" w:rsidP="00383CD2">
      <w:pPr>
        <w:spacing w:line="360" w:lineRule="auto"/>
        <w:ind w:leftChars="359" w:left="1103" w:rightChars="-15" w:right="-31" w:hangingChars="194" w:hanging="349"/>
        <w:rPr>
          <w:rFonts w:hAnsi="ＭＳ 明朝"/>
          <w:sz w:val="18"/>
          <w:szCs w:val="18"/>
        </w:rPr>
      </w:pPr>
      <w:r w:rsidRPr="000D48EC">
        <w:rPr>
          <w:rFonts w:hAnsi="ＭＳ 明朝" w:hint="eastAsia"/>
          <w:sz w:val="18"/>
          <w:szCs w:val="18"/>
        </w:rPr>
        <w:t xml:space="preserve">３　</w:t>
      </w:r>
      <w:r w:rsidR="00CD6912" w:rsidRPr="000D48EC">
        <w:rPr>
          <w:rFonts w:hAnsi="ＭＳ 明朝" w:hint="eastAsia"/>
          <w:sz w:val="18"/>
          <w:szCs w:val="18"/>
        </w:rPr>
        <w:t>立木について</w:t>
      </w:r>
      <w:r w:rsidR="003804AC" w:rsidRPr="000D48EC">
        <w:rPr>
          <w:rFonts w:hAnsi="ＭＳ 明朝" w:hint="eastAsia"/>
          <w:sz w:val="18"/>
          <w:szCs w:val="18"/>
        </w:rPr>
        <w:t>、面積が</w:t>
      </w:r>
      <w:r w:rsidR="00FF69EB" w:rsidRPr="000D48EC">
        <w:rPr>
          <w:rFonts w:hAnsi="ＭＳ 明朝" w:hint="eastAsia"/>
          <w:sz w:val="18"/>
          <w:szCs w:val="18"/>
        </w:rPr>
        <w:t>80,182</w:t>
      </w:r>
      <w:r w:rsidR="003804AC" w:rsidRPr="000D48EC">
        <w:rPr>
          <w:rFonts w:hAnsi="ＭＳ 明朝" w:hint="eastAsia"/>
          <w:sz w:val="18"/>
          <w:szCs w:val="18"/>
        </w:rPr>
        <w:t>.92㎡増加し、推定蓄積量は691,524本減少しているが、本数により管理していた府内</w:t>
      </w:r>
      <w:r w:rsidR="004A57E3">
        <w:rPr>
          <w:rFonts w:hAnsi="ＭＳ 明朝" w:hint="eastAsia"/>
          <w:sz w:val="18"/>
          <w:szCs w:val="18"/>
        </w:rPr>
        <w:t>４</w:t>
      </w:r>
      <w:r w:rsidR="003804AC" w:rsidRPr="000D48EC">
        <w:rPr>
          <w:rFonts w:hAnsi="ＭＳ 明朝" w:hint="eastAsia"/>
          <w:sz w:val="18"/>
          <w:szCs w:val="18"/>
        </w:rPr>
        <w:t>カ所にある農と緑の総合事務所において、管理方法を面積による管理に変更したことにより、推定蓄積量は減少する一方、面積は増加している。</w:t>
      </w:r>
    </w:p>
    <w:p w14:paraId="5CDAD54D" w14:textId="77777777" w:rsidR="00C32FDD" w:rsidRPr="000D48EC" w:rsidRDefault="00C32FDD" w:rsidP="00CF7F4B">
      <w:pPr>
        <w:ind w:leftChars="200" w:left="420"/>
        <w:rPr>
          <w:sz w:val="22"/>
          <w:szCs w:val="22"/>
        </w:rPr>
      </w:pPr>
    </w:p>
    <w:p w14:paraId="5235E135" w14:textId="77777777" w:rsidR="00CF7F4B" w:rsidRPr="000D48EC" w:rsidRDefault="00CF7F4B" w:rsidP="00C32FDD">
      <w:pPr>
        <w:ind w:firstLineChars="100" w:firstLine="220"/>
        <w:rPr>
          <w:sz w:val="22"/>
          <w:szCs w:val="22"/>
        </w:rPr>
      </w:pPr>
      <w:r w:rsidRPr="000D48EC">
        <w:rPr>
          <w:rFonts w:hint="eastAsia"/>
          <w:sz w:val="22"/>
          <w:szCs w:val="22"/>
        </w:rPr>
        <w:t>２　物　　品</w:t>
      </w:r>
    </w:p>
    <w:p w14:paraId="780DA037" w14:textId="77777777" w:rsidR="00CF7F4B" w:rsidRPr="008F5A30" w:rsidRDefault="00CF7F4B" w:rsidP="00BE0B03">
      <w:pPr>
        <w:ind w:leftChars="204" w:left="848" w:hangingChars="200" w:hanging="420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59359EED" wp14:editId="791ECE33">
            <wp:extent cx="5829300" cy="1171575"/>
            <wp:effectExtent l="19050" t="0" r="0" b="0"/>
            <wp:docPr id="363" name="図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868C0" w14:textId="77777777" w:rsidR="00CF7F4B" w:rsidRDefault="00CF7F4B" w:rsidP="00BE0B03">
      <w:pPr>
        <w:ind w:firstLineChars="283" w:firstLine="566"/>
        <w:rPr>
          <w:sz w:val="20"/>
          <w:szCs w:val="20"/>
        </w:rPr>
      </w:pPr>
      <w:r>
        <w:rPr>
          <w:rFonts w:hint="eastAsia"/>
          <w:sz w:val="20"/>
          <w:szCs w:val="20"/>
        </w:rPr>
        <w:t>注：重要な物品について記載した。</w:t>
      </w:r>
    </w:p>
    <w:p w14:paraId="4C675083" w14:textId="77777777" w:rsidR="00383CD2" w:rsidRDefault="00383CD2" w:rsidP="00BE0B03">
      <w:pPr>
        <w:ind w:firstLineChars="283" w:firstLine="566"/>
        <w:rPr>
          <w:sz w:val="20"/>
          <w:szCs w:val="20"/>
        </w:rPr>
      </w:pPr>
    </w:p>
    <w:p w14:paraId="3288855C" w14:textId="77777777" w:rsidR="00CF7F4B" w:rsidRDefault="00CF7F4B" w:rsidP="00C32FDD">
      <w:pPr>
        <w:ind w:firstLineChars="100" w:firstLine="210"/>
      </w:pPr>
      <w:r w:rsidRPr="00B74106">
        <w:rPr>
          <w:rFonts w:hint="eastAsia"/>
        </w:rPr>
        <w:lastRenderedPageBreak/>
        <w:t>３　債　　権</w:t>
      </w:r>
    </w:p>
    <w:p w14:paraId="3A70F71C" w14:textId="77777777" w:rsidR="007410C7" w:rsidRDefault="00CA512A" w:rsidP="007410C7">
      <w:pPr>
        <w:ind w:leftChars="404" w:left="848" w:firstLineChars="1" w:firstLine="2"/>
      </w:pPr>
      <w:r>
        <w:rPr>
          <w:noProof/>
        </w:rPr>
        <w:drawing>
          <wp:inline distT="0" distB="0" distL="0" distR="0" wp14:anchorId="2DD96E25" wp14:editId="09633F69">
            <wp:extent cx="5829300" cy="1314450"/>
            <wp:effectExtent l="19050" t="0" r="0" b="0"/>
            <wp:docPr id="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276" w:rsidRPr="00835276">
        <w:rPr>
          <w:rFonts w:hint="eastAsia"/>
        </w:rPr>
        <w:t xml:space="preserve"> </w:t>
      </w:r>
    </w:p>
    <w:p w14:paraId="1AC4BB1A" w14:textId="77777777" w:rsidR="00CF7F4B" w:rsidRPr="000D48EC" w:rsidRDefault="00CF7F4B" w:rsidP="008A30F4">
      <w:pPr>
        <w:spacing w:line="360" w:lineRule="auto"/>
        <w:ind w:leftChars="202" w:left="424" w:rightChars="-15" w:right="-31" w:firstLineChars="129" w:firstLine="284"/>
        <w:rPr>
          <w:rFonts w:hAnsi="ＭＳ 明朝"/>
          <w:sz w:val="22"/>
          <w:szCs w:val="22"/>
        </w:rPr>
      </w:pPr>
      <w:r w:rsidRPr="008A30F4">
        <w:rPr>
          <w:rFonts w:hAnsi="ＭＳ 明朝" w:hint="eastAsia"/>
          <w:sz w:val="22"/>
          <w:szCs w:val="22"/>
        </w:rPr>
        <w:t>決算年度中</w:t>
      </w:r>
      <w:r w:rsidRPr="000D48EC">
        <w:rPr>
          <w:rFonts w:hAnsi="ＭＳ 明朝" w:hint="eastAsia"/>
          <w:sz w:val="22"/>
          <w:szCs w:val="22"/>
        </w:rPr>
        <w:t>の増減高は38</w:t>
      </w:r>
      <w:r w:rsidR="00835276" w:rsidRPr="000D48EC">
        <w:rPr>
          <w:rFonts w:hAnsi="ＭＳ 明朝" w:hint="eastAsia"/>
          <w:sz w:val="22"/>
          <w:szCs w:val="22"/>
        </w:rPr>
        <w:t>2</w:t>
      </w:r>
      <w:r w:rsidRPr="000D48EC">
        <w:rPr>
          <w:rFonts w:hAnsi="ＭＳ 明朝" w:hint="eastAsia"/>
          <w:sz w:val="22"/>
          <w:szCs w:val="22"/>
        </w:rPr>
        <w:t>億</w:t>
      </w:r>
      <w:r w:rsidR="00835276" w:rsidRPr="000D48EC">
        <w:rPr>
          <w:rFonts w:hAnsi="ＭＳ 明朝" w:hint="eastAsia"/>
          <w:sz w:val="22"/>
          <w:szCs w:val="22"/>
        </w:rPr>
        <w:t>4,600</w:t>
      </w:r>
      <w:r w:rsidRPr="000D48EC">
        <w:rPr>
          <w:rFonts w:hAnsi="ＭＳ 明朝" w:hint="eastAsia"/>
          <w:sz w:val="22"/>
          <w:szCs w:val="22"/>
        </w:rPr>
        <w:t>万円の増加となっている。増減の内訳は、大阪府営水道企業債償還債務負担金431億3,400万円など12件、合計542億4,300万円が増加し、他方、大阪府市町村施設整備資金貸付金76億円など52件、合計15</w:t>
      </w:r>
      <w:r w:rsidR="00835276" w:rsidRPr="000D48EC">
        <w:rPr>
          <w:rFonts w:hAnsi="ＭＳ 明朝" w:hint="eastAsia"/>
          <w:sz w:val="22"/>
          <w:szCs w:val="22"/>
        </w:rPr>
        <w:t>9</w:t>
      </w:r>
      <w:r w:rsidRPr="000D48EC">
        <w:rPr>
          <w:rFonts w:hAnsi="ＭＳ 明朝" w:hint="eastAsia"/>
          <w:sz w:val="22"/>
          <w:szCs w:val="22"/>
        </w:rPr>
        <w:t>億</w:t>
      </w:r>
      <w:r w:rsidR="00835276" w:rsidRPr="000D48EC">
        <w:rPr>
          <w:rFonts w:hAnsi="ＭＳ 明朝" w:hint="eastAsia"/>
          <w:sz w:val="22"/>
          <w:szCs w:val="22"/>
        </w:rPr>
        <w:t>9,700</w:t>
      </w:r>
      <w:r w:rsidRPr="000D48EC">
        <w:rPr>
          <w:rFonts w:hAnsi="ＭＳ 明朝" w:hint="eastAsia"/>
          <w:sz w:val="22"/>
          <w:szCs w:val="22"/>
        </w:rPr>
        <w:t>万円が減少している。</w:t>
      </w:r>
      <w:r w:rsidR="008463C7" w:rsidRPr="000D48EC">
        <w:rPr>
          <w:rFonts w:hAnsi="ＭＳ 明朝" w:hint="eastAsia"/>
          <w:sz w:val="22"/>
          <w:szCs w:val="22"/>
        </w:rPr>
        <w:t>なお、当年度中に貸付</w:t>
      </w:r>
      <w:r w:rsidR="0078083F">
        <w:rPr>
          <w:rFonts w:hAnsi="ＭＳ 明朝" w:hint="eastAsia"/>
          <w:sz w:val="22"/>
          <w:szCs w:val="22"/>
        </w:rPr>
        <w:t>け</w:t>
      </w:r>
      <w:r w:rsidR="008463C7" w:rsidRPr="000D48EC">
        <w:rPr>
          <w:rFonts w:hAnsi="ＭＳ 明朝" w:hint="eastAsia"/>
          <w:sz w:val="22"/>
          <w:szCs w:val="22"/>
        </w:rPr>
        <w:t>及び償還が行われる単年度貸付金は</w:t>
      </w:r>
      <w:r w:rsidR="000255BD" w:rsidRPr="000D48EC">
        <w:rPr>
          <w:rFonts w:hAnsi="ＭＳ 明朝" w:hint="eastAsia"/>
          <w:sz w:val="22"/>
          <w:szCs w:val="22"/>
        </w:rPr>
        <w:t>本表には</w:t>
      </w:r>
      <w:r w:rsidR="008463C7" w:rsidRPr="000D48EC">
        <w:rPr>
          <w:rFonts w:hAnsi="ＭＳ 明朝" w:hint="eastAsia"/>
          <w:sz w:val="22"/>
          <w:szCs w:val="22"/>
        </w:rPr>
        <w:t>含まれていない。</w:t>
      </w:r>
    </w:p>
    <w:p w14:paraId="084A8454" w14:textId="77777777" w:rsidR="00CF7F4B" w:rsidRDefault="00CF7F4B" w:rsidP="00CF7F4B">
      <w:pPr>
        <w:ind w:leftChars="100" w:left="210" w:firstLineChars="300" w:firstLine="630"/>
      </w:pPr>
      <w:r w:rsidRPr="00D00D1B">
        <w:rPr>
          <w:rFonts w:hint="eastAsia"/>
        </w:rPr>
        <w:t xml:space="preserve">　　</w:t>
      </w:r>
    </w:p>
    <w:p w14:paraId="2DC3409E" w14:textId="77777777" w:rsidR="00CF7F4B" w:rsidRDefault="00CF7F4B" w:rsidP="00BE0B03">
      <w:pPr>
        <w:ind w:leftChars="100" w:left="210" w:firstLineChars="102" w:firstLine="214"/>
      </w:pPr>
      <w:r w:rsidRPr="00255EA1">
        <w:rPr>
          <w:rFonts w:hint="eastAsia"/>
        </w:rPr>
        <w:t>「主な債権の増減」</w:t>
      </w:r>
    </w:p>
    <w:p w14:paraId="3692A66B" w14:textId="77777777" w:rsidR="007410C7" w:rsidRDefault="00CF7F4B" w:rsidP="007410C7">
      <w:pPr>
        <w:ind w:leftChars="100" w:left="210" w:firstLineChars="102" w:firstLine="214"/>
      </w:pPr>
      <w:r>
        <w:rPr>
          <w:rFonts w:hint="eastAsia"/>
          <w:noProof/>
        </w:rPr>
        <w:drawing>
          <wp:inline distT="0" distB="0" distL="0" distR="0" wp14:anchorId="3F845AF0" wp14:editId="53A18114">
            <wp:extent cx="5353050" cy="5291824"/>
            <wp:effectExtent l="19050" t="0" r="0" b="0"/>
            <wp:docPr id="365" name="図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29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7397A" w14:textId="77777777" w:rsidR="000D178D" w:rsidRDefault="00965485" w:rsidP="0078083F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0D178D" w:rsidRPr="00707E87">
        <w:rPr>
          <w:rFonts w:hint="eastAsia"/>
          <w:sz w:val="22"/>
          <w:szCs w:val="22"/>
        </w:rPr>
        <w:lastRenderedPageBreak/>
        <w:t>４</w:t>
      </w:r>
      <w:r w:rsidR="000D178D">
        <w:rPr>
          <w:rFonts w:hint="eastAsia"/>
          <w:sz w:val="22"/>
          <w:szCs w:val="22"/>
        </w:rPr>
        <w:t xml:space="preserve">　基</w:t>
      </w:r>
      <w:r w:rsidR="00C32FDD">
        <w:rPr>
          <w:rFonts w:hint="eastAsia"/>
          <w:sz w:val="22"/>
          <w:szCs w:val="22"/>
        </w:rPr>
        <w:t xml:space="preserve">　　</w:t>
      </w:r>
      <w:r w:rsidR="000D178D">
        <w:rPr>
          <w:rFonts w:hint="eastAsia"/>
          <w:sz w:val="22"/>
          <w:szCs w:val="22"/>
        </w:rPr>
        <w:t>金</w:t>
      </w:r>
    </w:p>
    <w:p w14:paraId="3734D8A9" w14:textId="77777777" w:rsidR="000D178D" w:rsidRPr="00B95CF2" w:rsidRDefault="000D178D" w:rsidP="00BE0B03">
      <w:pPr>
        <w:ind w:firstLineChars="202" w:firstLine="424"/>
        <w:rPr>
          <w:sz w:val="22"/>
          <w:szCs w:val="22"/>
        </w:rPr>
      </w:pPr>
      <w:r>
        <w:rPr>
          <w:rFonts w:hint="eastAsia"/>
          <w:noProof/>
          <w:szCs w:val="22"/>
        </w:rPr>
        <w:drawing>
          <wp:inline distT="0" distB="0" distL="0" distR="0" wp14:anchorId="75E1B893" wp14:editId="6F72D736">
            <wp:extent cx="5829300" cy="7372350"/>
            <wp:effectExtent l="19050" t="0" r="0" b="0"/>
            <wp:docPr id="406" name="図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688EFC" w14:textId="77777777" w:rsidR="000D178D" w:rsidRDefault="000D178D" w:rsidP="000D178D">
      <w:pPr>
        <w:rPr>
          <w:szCs w:val="22"/>
        </w:rPr>
      </w:pPr>
      <w:r>
        <w:rPr>
          <w:szCs w:val="22"/>
        </w:rPr>
        <w:br w:type="page"/>
      </w:r>
    </w:p>
    <w:p w14:paraId="234206E1" w14:textId="77777777" w:rsidR="000D178D" w:rsidRDefault="000D178D" w:rsidP="000D178D">
      <w:pPr>
        <w:rPr>
          <w:szCs w:val="22"/>
        </w:rPr>
      </w:pPr>
    </w:p>
    <w:p w14:paraId="370EBB75" w14:textId="77777777" w:rsidR="000D178D" w:rsidRDefault="00CA512A" w:rsidP="00BE0B03">
      <w:pPr>
        <w:ind w:firstLineChars="202" w:firstLine="424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800576" behindDoc="0" locked="0" layoutInCell="1" allowOverlap="1" wp14:anchorId="23B71D8B" wp14:editId="42F518C4">
            <wp:simplePos x="0" y="0"/>
            <wp:positionH relativeFrom="column">
              <wp:posOffset>285750</wp:posOffset>
            </wp:positionH>
            <wp:positionV relativeFrom="paragraph">
              <wp:posOffset>37465</wp:posOffset>
            </wp:positionV>
            <wp:extent cx="4692650" cy="7378700"/>
            <wp:effectExtent l="19050" t="0" r="0" b="0"/>
            <wp:wrapNone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3A550D" w14:textId="77777777" w:rsidR="000D178D" w:rsidRDefault="000D178D" w:rsidP="000D178D">
      <w:pPr>
        <w:rPr>
          <w:szCs w:val="22"/>
        </w:rPr>
      </w:pPr>
    </w:p>
    <w:p w14:paraId="17DDB847" w14:textId="77777777" w:rsidR="0089058E" w:rsidRDefault="0089058E">
      <w:pPr>
        <w:widowControl/>
        <w:jc w:val="left"/>
        <w:rPr>
          <w:rFonts w:hAnsi="ＭＳ 明朝"/>
          <w:sz w:val="20"/>
          <w:szCs w:val="20"/>
        </w:rPr>
      </w:pPr>
    </w:p>
    <w:p w14:paraId="2FF34C7E" w14:textId="77777777" w:rsidR="009D48AB" w:rsidRDefault="009D48AB">
      <w:pPr>
        <w:widowControl/>
        <w:jc w:val="left"/>
        <w:rPr>
          <w:rFonts w:hAnsi="ＭＳ 明朝"/>
          <w:sz w:val="20"/>
          <w:szCs w:val="20"/>
        </w:rPr>
      </w:pPr>
    </w:p>
    <w:p w14:paraId="23CA494E" w14:textId="77777777" w:rsidR="000D178D" w:rsidRDefault="0089058E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14:paraId="226AEC69" w14:textId="77777777" w:rsidR="0089058E" w:rsidRDefault="0089058E" w:rsidP="0089058E">
      <w:pPr>
        <w:jc w:val="center"/>
        <w:rPr>
          <w:kern w:val="0"/>
          <w:sz w:val="22"/>
          <w:szCs w:val="22"/>
        </w:rPr>
      </w:pPr>
      <w:r w:rsidRPr="00C05877">
        <w:rPr>
          <w:rFonts w:hint="eastAsia"/>
          <w:spacing w:val="78"/>
          <w:kern w:val="0"/>
          <w:sz w:val="22"/>
          <w:szCs w:val="22"/>
          <w:fitText w:val="2940" w:id="154831616"/>
        </w:rPr>
        <w:t>[基金残高の推移</w:t>
      </w:r>
      <w:r w:rsidRPr="00C05877">
        <w:rPr>
          <w:rFonts w:hint="eastAsia"/>
          <w:spacing w:val="11"/>
          <w:kern w:val="0"/>
          <w:sz w:val="22"/>
          <w:szCs w:val="22"/>
          <w:fitText w:val="2940" w:id="154831616"/>
        </w:rPr>
        <w:t>]</w:t>
      </w:r>
    </w:p>
    <w:p w14:paraId="7AFC3F06" w14:textId="77777777" w:rsidR="0089058E" w:rsidRDefault="00A94342" w:rsidP="0089058E">
      <w:r w:rsidRPr="00A94342">
        <w:rPr>
          <w:noProof/>
        </w:rPr>
        <w:drawing>
          <wp:inline distT="0" distB="0" distL="0" distR="0" wp14:anchorId="4FC3E4AE" wp14:editId="2928BA02">
            <wp:extent cx="5611502" cy="5124660"/>
            <wp:effectExtent l="19050" t="0" r="27298" b="0"/>
            <wp:docPr id="24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0AC2F0" w14:textId="77777777" w:rsidR="0089058E" w:rsidRDefault="00A94342" w:rsidP="0089058E">
      <w:r w:rsidRPr="00A94342">
        <w:rPr>
          <w:rFonts w:hint="eastAsia"/>
          <w:noProof/>
        </w:rPr>
        <w:drawing>
          <wp:inline distT="0" distB="0" distL="0" distR="0" wp14:anchorId="1A74AD8E" wp14:editId="0932D75D">
            <wp:extent cx="5628647" cy="2030483"/>
            <wp:effectExtent l="19050" t="0" r="0" b="0"/>
            <wp:docPr id="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39" cy="202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58E">
        <w:rPr>
          <w:rFonts w:hint="eastAsia"/>
        </w:rPr>
        <w:t xml:space="preserve">　</w:t>
      </w:r>
    </w:p>
    <w:p w14:paraId="49E55178" w14:textId="77777777" w:rsidR="00C32FDD" w:rsidRDefault="00C32FDD" w:rsidP="00C32FDD">
      <w:pPr>
        <w:rPr>
          <w:rFonts w:hAnsi="ＭＳ 明朝"/>
        </w:rPr>
      </w:pPr>
    </w:p>
    <w:p w14:paraId="7D735217" w14:textId="77777777" w:rsidR="0078083F" w:rsidRPr="00EC31FA" w:rsidRDefault="0089058E" w:rsidP="00EC31FA">
      <w:pPr>
        <w:ind w:firstLineChars="300" w:firstLine="660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平成23年度末の基金残高（運用金として一般会計に繰</w:t>
      </w:r>
      <w:r w:rsidR="0078083F" w:rsidRPr="00EC31FA">
        <w:rPr>
          <w:rFonts w:hAnsi="ＭＳ 明朝" w:hint="eastAsia"/>
          <w:sz w:val="22"/>
          <w:szCs w:val="22"/>
        </w:rPr>
        <w:t>り</w:t>
      </w:r>
      <w:r w:rsidRPr="00EC31FA">
        <w:rPr>
          <w:rFonts w:hAnsi="ＭＳ 明朝" w:hint="eastAsia"/>
          <w:sz w:val="22"/>
          <w:szCs w:val="22"/>
        </w:rPr>
        <w:t>入れた額並びに用品調達基</w:t>
      </w:r>
    </w:p>
    <w:p w14:paraId="4C2132F7" w14:textId="77777777" w:rsidR="0078083F" w:rsidRPr="00EC31FA" w:rsidRDefault="0089058E" w:rsidP="00EC31FA">
      <w:pPr>
        <w:ind w:firstLineChars="193" w:firstLine="425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金及び災害救助基金の動産を除く）は、6,123億4,900万円であり、前年度末と比較し</w:t>
      </w:r>
    </w:p>
    <w:p w14:paraId="30AD1C40" w14:textId="77777777" w:rsidR="0078083F" w:rsidRPr="00EC31FA" w:rsidRDefault="0089058E" w:rsidP="00EC31FA">
      <w:pPr>
        <w:ind w:firstLineChars="200" w:firstLine="440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1,065億4,100万円、率にして21.1％増加しているが、これは減債基金672億9,100万</w:t>
      </w:r>
    </w:p>
    <w:p w14:paraId="7C219A03" w14:textId="77777777" w:rsidR="0089058E" w:rsidRPr="00EC31FA" w:rsidRDefault="0089058E" w:rsidP="00EC31FA">
      <w:pPr>
        <w:ind w:firstLineChars="200" w:firstLine="440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円、財政調整基金700億1,100万円を積み立てたことによるものである。</w:t>
      </w:r>
    </w:p>
    <w:p w14:paraId="301E7255" w14:textId="77777777" w:rsidR="00C32FDD" w:rsidRPr="00EC31FA" w:rsidRDefault="008463C7" w:rsidP="00EC31FA">
      <w:pPr>
        <w:spacing w:line="360" w:lineRule="auto"/>
        <w:ind w:rightChars="-15" w:right="-31" w:firstLineChars="300" w:firstLine="660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なお、</w:t>
      </w:r>
      <w:r w:rsidR="00B648BA" w:rsidRPr="00EC31FA">
        <w:rPr>
          <w:rFonts w:hAnsi="ＭＳ 明朝" w:hint="eastAsia"/>
          <w:sz w:val="22"/>
          <w:szCs w:val="22"/>
        </w:rPr>
        <w:t>減債基金</w:t>
      </w:r>
      <w:r w:rsidR="000255BD" w:rsidRPr="00EC31FA">
        <w:rPr>
          <w:rFonts w:hAnsi="ＭＳ 明朝" w:hint="eastAsia"/>
          <w:sz w:val="22"/>
          <w:szCs w:val="22"/>
        </w:rPr>
        <w:t>の</w:t>
      </w:r>
      <w:r w:rsidR="00B648BA" w:rsidRPr="00EC31FA">
        <w:rPr>
          <w:rFonts w:hAnsi="ＭＳ 明朝" w:hint="eastAsia"/>
          <w:sz w:val="22"/>
          <w:szCs w:val="22"/>
        </w:rPr>
        <w:t>積立不足額が</w:t>
      </w:r>
      <w:r w:rsidR="000255BD" w:rsidRPr="00EC31FA">
        <w:rPr>
          <w:rFonts w:hAnsi="ＭＳ 明朝" w:hint="eastAsia"/>
          <w:sz w:val="22"/>
          <w:szCs w:val="22"/>
        </w:rPr>
        <w:t>平成23年度末で</w:t>
      </w:r>
      <w:r w:rsidR="00B648BA" w:rsidRPr="00EC31FA">
        <w:rPr>
          <w:rFonts w:hAnsi="ＭＳ 明朝" w:hint="eastAsia"/>
          <w:sz w:val="22"/>
          <w:szCs w:val="22"/>
        </w:rPr>
        <w:t>4,253億円あ</w:t>
      </w:r>
      <w:r w:rsidR="000255BD" w:rsidRPr="00EC31FA">
        <w:rPr>
          <w:rFonts w:hAnsi="ＭＳ 明朝" w:hint="eastAsia"/>
          <w:sz w:val="22"/>
          <w:szCs w:val="22"/>
        </w:rPr>
        <w:t>り、今後も不足額の解</w:t>
      </w:r>
    </w:p>
    <w:p w14:paraId="1B14E97E" w14:textId="77777777" w:rsidR="008463C7" w:rsidRPr="00EC31FA" w:rsidRDefault="000255BD" w:rsidP="00EC31FA">
      <w:pPr>
        <w:spacing w:line="360" w:lineRule="auto"/>
        <w:ind w:rightChars="-15" w:right="-31" w:firstLineChars="200" w:firstLine="440"/>
        <w:jc w:val="left"/>
        <w:rPr>
          <w:rFonts w:hAnsi="ＭＳ 明朝"/>
          <w:sz w:val="22"/>
          <w:szCs w:val="22"/>
        </w:rPr>
      </w:pPr>
      <w:r w:rsidRPr="00EC31FA">
        <w:rPr>
          <w:rFonts w:hAnsi="ＭＳ 明朝" w:hint="eastAsia"/>
          <w:sz w:val="22"/>
          <w:szCs w:val="22"/>
        </w:rPr>
        <w:t>消を進めることが必要である</w:t>
      </w:r>
      <w:r w:rsidR="00B648BA" w:rsidRPr="00EC31FA">
        <w:rPr>
          <w:rFonts w:hAnsi="ＭＳ 明朝" w:hint="eastAsia"/>
          <w:sz w:val="22"/>
          <w:szCs w:val="22"/>
        </w:rPr>
        <w:t>。</w:t>
      </w:r>
    </w:p>
    <w:sectPr w:rsidR="008463C7" w:rsidRPr="00EC31FA" w:rsidSect="00333620">
      <w:footerReference w:type="even" r:id="rId19"/>
      <w:pgSz w:w="11906" w:h="16838" w:code="9"/>
      <w:pgMar w:top="1361" w:right="1361" w:bottom="1361" w:left="1559" w:header="851" w:footer="284" w:gutter="0"/>
      <w:pgNumType w:fmt="numberInDash" w:start="36"/>
      <w:cols w:space="425"/>
      <w:docGrid w:type="lines" w:linePitch="300" w:charSpace="8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D2914" w14:textId="77777777" w:rsidR="003F5B59" w:rsidRDefault="003F5B59" w:rsidP="0041301D">
      <w:r>
        <w:separator/>
      </w:r>
    </w:p>
  </w:endnote>
  <w:endnote w:type="continuationSeparator" w:id="0">
    <w:p w14:paraId="20689EF9" w14:textId="77777777" w:rsidR="003F5B59" w:rsidRDefault="003F5B59" w:rsidP="0041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21B3" w14:textId="77777777" w:rsidR="003F5B59" w:rsidRDefault="003F5B59" w:rsidP="00721F4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- 44 -</w:t>
    </w:r>
    <w:r>
      <w:rPr>
        <w:rStyle w:val="ac"/>
      </w:rPr>
      <w:fldChar w:fldCharType="end"/>
    </w:r>
  </w:p>
  <w:p w14:paraId="1226CBE3" w14:textId="77777777" w:rsidR="003F5B59" w:rsidRDefault="003F5B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3574" w14:textId="77777777" w:rsidR="003F5B59" w:rsidRDefault="003F5B59" w:rsidP="0041301D">
      <w:r>
        <w:separator/>
      </w:r>
    </w:p>
  </w:footnote>
  <w:footnote w:type="continuationSeparator" w:id="0">
    <w:p w14:paraId="5F5E3AB5" w14:textId="77777777" w:rsidR="003F5B59" w:rsidRDefault="003F5B59" w:rsidP="0041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605"/>
    <w:multiLevelType w:val="hybridMultilevel"/>
    <w:tmpl w:val="2D520974"/>
    <w:lvl w:ilvl="0" w:tplc="150A70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F116E9E"/>
    <w:multiLevelType w:val="hybridMultilevel"/>
    <w:tmpl w:val="4ECAF5EE"/>
    <w:lvl w:ilvl="0" w:tplc="EEFA98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D75315"/>
    <w:multiLevelType w:val="hybridMultilevel"/>
    <w:tmpl w:val="27F2EA5A"/>
    <w:lvl w:ilvl="0" w:tplc="2F5A0E5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001A4D"/>
    <w:multiLevelType w:val="hybridMultilevel"/>
    <w:tmpl w:val="E6AA8DA0"/>
    <w:lvl w:ilvl="0" w:tplc="567C646C">
      <w:start w:val="1"/>
      <w:numFmt w:val="decimal"/>
      <w:lvlText w:val="(%1)"/>
      <w:lvlJc w:val="left"/>
      <w:pPr>
        <w:ind w:left="8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70F23D13"/>
    <w:multiLevelType w:val="hybridMultilevel"/>
    <w:tmpl w:val="4E882E66"/>
    <w:lvl w:ilvl="0" w:tplc="37BEDF5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6"/>
  <w:drawingGridVerticalSpacing w:val="1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1"/>
    <w:rsid w:val="000255BD"/>
    <w:rsid w:val="000305D3"/>
    <w:rsid w:val="00055358"/>
    <w:rsid w:val="0005673F"/>
    <w:rsid w:val="0006489D"/>
    <w:rsid w:val="00065AC1"/>
    <w:rsid w:val="00075019"/>
    <w:rsid w:val="000D178D"/>
    <w:rsid w:val="000D2DEF"/>
    <w:rsid w:val="000D48EC"/>
    <w:rsid w:val="001015C6"/>
    <w:rsid w:val="0010214B"/>
    <w:rsid w:val="00103286"/>
    <w:rsid w:val="0013592E"/>
    <w:rsid w:val="00176A3C"/>
    <w:rsid w:val="00182BC3"/>
    <w:rsid w:val="001B70BB"/>
    <w:rsid w:val="001D35B8"/>
    <w:rsid w:val="001E091E"/>
    <w:rsid w:val="001E2BFA"/>
    <w:rsid w:val="001E44DB"/>
    <w:rsid w:val="001F3A8E"/>
    <w:rsid w:val="00203663"/>
    <w:rsid w:val="00230847"/>
    <w:rsid w:val="00242A18"/>
    <w:rsid w:val="00250622"/>
    <w:rsid w:val="0025073E"/>
    <w:rsid w:val="00271FE2"/>
    <w:rsid w:val="00274529"/>
    <w:rsid w:val="00281D7C"/>
    <w:rsid w:val="002A3038"/>
    <w:rsid w:val="002A7611"/>
    <w:rsid w:val="002B0382"/>
    <w:rsid w:val="002C578A"/>
    <w:rsid w:val="00333620"/>
    <w:rsid w:val="00333F19"/>
    <w:rsid w:val="003400F7"/>
    <w:rsid w:val="003403EC"/>
    <w:rsid w:val="00341B86"/>
    <w:rsid w:val="00366C00"/>
    <w:rsid w:val="00373685"/>
    <w:rsid w:val="00375F79"/>
    <w:rsid w:val="003804AC"/>
    <w:rsid w:val="00382F94"/>
    <w:rsid w:val="00383CD2"/>
    <w:rsid w:val="003845C3"/>
    <w:rsid w:val="003930AC"/>
    <w:rsid w:val="003C119E"/>
    <w:rsid w:val="003D7E4F"/>
    <w:rsid w:val="003F5B59"/>
    <w:rsid w:val="0041301D"/>
    <w:rsid w:val="00415E86"/>
    <w:rsid w:val="00460E1F"/>
    <w:rsid w:val="00486F24"/>
    <w:rsid w:val="00490976"/>
    <w:rsid w:val="00490E2A"/>
    <w:rsid w:val="004A02CA"/>
    <w:rsid w:val="004A57E3"/>
    <w:rsid w:val="004B019C"/>
    <w:rsid w:val="0052544A"/>
    <w:rsid w:val="00574032"/>
    <w:rsid w:val="005B371A"/>
    <w:rsid w:val="005C73E0"/>
    <w:rsid w:val="006007A0"/>
    <w:rsid w:val="00604B54"/>
    <w:rsid w:val="0061778E"/>
    <w:rsid w:val="006259BD"/>
    <w:rsid w:val="00630801"/>
    <w:rsid w:val="00662C7C"/>
    <w:rsid w:val="006B0428"/>
    <w:rsid w:val="006B0D08"/>
    <w:rsid w:val="006B7596"/>
    <w:rsid w:val="006C02D6"/>
    <w:rsid w:val="006C1365"/>
    <w:rsid w:val="006D19E3"/>
    <w:rsid w:val="006E174D"/>
    <w:rsid w:val="006E2D88"/>
    <w:rsid w:val="006E7D2C"/>
    <w:rsid w:val="00704901"/>
    <w:rsid w:val="00721F42"/>
    <w:rsid w:val="00727480"/>
    <w:rsid w:val="00731EDB"/>
    <w:rsid w:val="007410C7"/>
    <w:rsid w:val="00745FA6"/>
    <w:rsid w:val="007524BF"/>
    <w:rsid w:val="0077130C"/>
    <w:rsid w:val="0078083F"/>
    <w:rsid w:val="00780F5E"/>
    <w:rsid w:val="0078466F"/>
    <w:rsid w:val="007A5106"/>
    <w:rsid w:val="007B4BC6"/>
    <w:rsid w:val="007D1BE0"/>
    <w:rsid w:val="007E542B"/>
    <w:rsid w:val="007E6FF5"/>
    <w:rsid w:val="007E736E"/>
    <w:rsid w:val="00803263"/>
    <w:rsid w:val="0082198D"/>
    <w:rsid w:val="00835276"/>
    <w:rsid w:val="00842600"/>
    <w:rsid w:val="008463C7"/>
    <w:rsid w:val="0086513A"/>
    <w:rsid w:val="00874929"/>
    <w:rsid w:val="00874958"/>
    <w:rsid w:val="0089058E"/>
    <w:rsid w:val="00890AF6"/>
    <w:rsid w:val="008959B9"/>
    <w:rsid w:val="00897419"/>
    <w:rsid w:val="008A30F4"/>
    <w:rsid w:val="008A474F"/>
    <w:rsid w:val="008A73F7"/>
    <w:rsid w:val="008E0546"/>
    <w:rsid w:val="008E5440"/>
    <w:rsid w:val="00903764"/>
    <w:rsid w:val="00911A6C"/>
    <w:rsid w:val="009637F3"/>
    <w:rsid w:val="00965485"/>
    <w:rsid w:val="0098731C"/>
    <w:rsid w:val="009D22E9"/>
    <w:rsid w:val="009D36D2"/>
    <w:rsid w:val="009D48AB"/>
    <w:rsid w:val="009F3D7A"/>
    <w:rsid w:val="009F7196"/>
    <w:rsid w:val="00A02EBB"/>
    <w:rsid w:val="00A175AC"/>
    <w:rsid w:val="00A3321E"/>
    <w:rsid w:val="00A4359A"/>
    <w:rsid w:val="00A47D64"/>
    <w:rsid w:val="00A50C61"/>
    <w:rsid w:val="00A52AE0"/>
    <w:rsid w:val="00A627E0"/>
    <w:rsid w:val="00A77ED4"/>
    <w:rsid w:val="00A94342"/>
    <w:rsid w:val="00AA46EB"/>
    <w:rsid w:val="00AB2C4B"/>
    <w:rsid w:val="00AE4ED3"/>
    <w:rsid w:val="00AE688C"/>
    <w:rsid w:val="00AF234E"/>
    <w:rsid w:val="00B103E5"/>
    <w:rsid w:val="00B12CEA"/>
    <w:rsid w:val="00B4377C"/>
    <w:rsid w:val="00B455C0"/>
    <w:rsid w:val="00B51C9C"/>
    <w:rsid w:val="00B53080"/>
    <w:rsid w:val="00B648BA"/>
    <w:rsid w:val="00B652E5"/>
    <w:rsid w:val="00B74E04"/>
    <w:rsid w:val="00B765F9"/>
    <w:rsid w:val="00B81182"/>
    <w:rsid w:val="00BD1D0D"/>
    <w:rsid w:val="00BD1FE2"/>
    <w:rsid w:val="00BE0B03"/>
    <w:rsid w:val="00C05877"/>
    <w:rsid w:val="00C06435"/>
    <w:rsid w:val="00C20D7D"/>
    <w:rsid w:val="00C32FDD"/>
    <w:rsid w:val="00C4178A"/>
    <w:rsid w:val="00C50649"/>
    <w:rsid w:val="00C57A04"/>
    <w:rsid w:val="00C77CA9"/>
    <w:rsid w:val="00C81289"/>
    <w:rsid w:val="00C94F99"/>
    <w:rsid w:val="00CA512A"/>
    <w:rsid w:val="00CB0ACA"/>
    <w:rsid w:val="00CC40B9"/>
    <w:rsid w:val="00CC5342"/>
    <w:rsid w:val="00CD6912"/>
    <w:rsid w:val="00CE3D91"/>
    <w:rsid w:val="00CE5DCF"/>
    <w:rsid w:val="00CF08F5"/>
    <w:rsid w:val="00CF7F4B"/>
    <w:rsid w:val="00D03348"/>
    <w:rsid w:val="00D2133E"/>
    <w:rsid w:val="00D248A2"/>
    <w:rsid w:val="00D32038"/>
    <w:rsid w:val="00D443F2"/>
    <w:rsid w:val="00D5033B"/>
    <w:rsid w:val="00D92A01"/>
    <w:rsid w:val="00D9528F"/>
    <w:rsid w:val="00DC196C"/>
    <w:rsid w:val="00DC4A9D"/>
    <w:rsid w:val="00DE382F"/>
    <w:rsid w:val="00E015DB"/>
    <w:rsid w:val="00E120E1"/>
    <w:rsid w:val="00E15FB9"/>
    <w:rsid w:val="00E16327"/>
    <w:rsid w:val="00E21EED"/>
    <w:rsid w:val="00E3326E"/>
    <w:rsid w:val="00E42BB5"/>
    <w:rsid w:val="00E55167"/>
    <w:rsid w:val="00E55FA0"/>
    <w:rsid w:val="00E60E67"/>
    <w:rsid w:val="00E62E7D"/>
    <w:rsid w:val="00E64560"/>
    <w:rsid w:val="00E732DE"/>
    <w:rsid w:val="00E95A34"/>
    <w:rsid w:val="00E96B89"/>
    <w:rsid w:val="00EA15D3"/>
    <w:rsid w:val="00EA45C3"/>
    <w:rsid w:val="00EB45CF"/>
    <w:rsid w:val="00EC074A"/>
    <w:rsid w:val="00EC31FA"/>
    <w:rsid w:val="00ED359B"/>
    <w:rsid w:val="00F14E29"/>
    <w:rsid w:val="00F357EA"/>
    <w:rsid w:val="00F722E3"/>
    <w:rsid w:val="00FA0C9F"/>
    <w:rsid w:val="00FA714A"/>
    <w:rsid w:val="00FB33FB"/>
    <w:rsid w:val="00FD3A32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63A6F"/>
  <w15:docId w15:val="{771864B4-0D98-4762-BACA-F51C44DA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7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92A01"/>
    <w:pPr>
      <w:jc w:val="center"/>
      <w:outlineLvl w:val="0"/>
    </w:pPr>
    <w:rPr>
      <w:rFonts w:hAnsi="ＭＳ 明朝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D92A01"/>
    <w:pPr>
      <w:spacing w:line="340" w:lineRule="exact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92A01"/>
    <w:rPr>
      <w:rFonts w:ascii="ＭＳ 明朝" w:eastAsia="ＭＳ 明朝" w:hAnsi="ＭＳ 明朝" w:cs="Times New Roman"/>
      <w:b/>
      <w:kern w:val="0"/>
      <w:sz w:val="32"/>
      <w:szCs w:val="32"/>
    </w:rPr>
  </w:style>
  <w:style w:type="character" w:customStyle="1" w:styleId="20">
    <w:name w:val="見出し 2 (文字)"/>
    <w:basedOn w:val="a0"/>
    <w:link w:val="2"/>
    <w:rsid w:val="00D92A01"/>
    <w:rPr>
      <w:rFonts w:ascii="Century" w:eastAsia="ＭＳ 明朝" w:hAnsi="Century" w:cs="Times New Roman"/>
      <w:b/>
      <w:sz w:val="28"/>
      <w:szCs w:val="28"/>
    </w:rPr>
  </w:style>
  <w:style w:type="character" w:styleId="a3">
    <w:name w:val="annotation reference"/>
    <w:basedOn w:val="a0"/>
    <w:rsid w:val="00D92A01"/>
    <w:rPr>
      <w:sz w:val="18"/>
      <w:szCs w:val="18"/>
    </w:rPr>
  </w:style>
  <w:style w:type="paragraph" w:styleId="a4">
    <w:name w:val="annotation text"/>
    <w:basedOn w:val="a"/>
    <w:link w:val="a5"/>
    <w:rsid w:val="00D92A01"/>
    <w:pPr>
      <w:jc w:val="left"/>
    </w:pPr>
  </w:style>
  <w:style w:type="character" w:customStyle="1" w:styleId="a5">
    <w:name w:val="コメント文字列 (文字)"/>
    <w:basedOn w:val="a0"/>
    <w:link w:val="a4"/>
    <w:rsid w:val="00D92A0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2A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 Indent"/>
    <w:basedOn w:val="a"/>
    <w:link w:val="a9"/>
    <w:rsid w:val="00375F79"/>
    <w:pPr>
      <w:ind w:firstLineChars="100" w:firstLine="195"/>
    </w:pPr>
  </w:style>
  <w:style w:type="character" w:customStyle="1" w:styleId="a9">
    <w:name w:val="本文インデント (文字)"/>
    <w:basedOn w:val="a0"/>
    <w:link w:val="a8"/>
    <w:rsid w:val="00375F7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0D1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178D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0D178D"/>
  </w:style>
  <w:style w:type="paragraph" w:styleId="ad">
    <w:name w:val="header"/>
    <w:basedOn w:val="a"/>
    <w:link w:val="ae"/>
    <w:uiPriority w:val="99"/>
    <w:unhideWhenUsed/>
    <w:rsid w:val="004130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1301D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3C119E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rsid w:val="003C119E"/>
    <w:rPr>
      <w:rFonts w:ascii="Century" w:eastAsia="ＭＳ 明朝" w:hAnsi="Century" w:cs="Times New Roman"/>
      <w:b/>
      <w:bCs/>
      <w:szCs w:val="24"/>
    </w:rPr>
  </w:style>
  <w:style w:type="paragraph" w:styleId="af1">
    <w:name w:val="List Paragraph"/>
    <w:basedOn w:val="a"/>
    <w:uiPriority w:val="34"/>
    <w:qFormat/>
    <w:rsid w:val="00C0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tsuyowatanabe\Desktop\&#20181;&#25499;&#20013;\&#22823;&#38442;&#24220;\84&#22522;&#37329;&#27531;&#39640;&#12398;&#25512;&#31227;2012%20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800" b="0"/>
              <a:t>百万円</a:t>
            </a:r>
          </a:p>
        </c:rich>
      </c:tx>
      <c:layout>
        <c:manualLayout>
          <c:xMode val="edge"/>
          <c:yMode val="edge"/>
          <c:x val="2.9051987767584133E-2"/>
          <c:y val="6.995230524642290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solidFill>
          <a:prstClr val="white">
            <a:lumMod val="95000"/>
            <a:alpha val="35000"/>
          </a:prstClr>
        </a:solidFill>
      </c:spPr>
    </c:sideWall>
    <c:backWall>
      <c:thickness val="0"/>
      <c:spPr>
        <a:solidFill>
          <a:prstClr val="white">
            <a:lumMod val="95000"/>
            <a:alpha val="35000"/>
          </a:prstClr>
        </a:solidFill>
      </c:spPr>
    </c:backWall>
    <c:plotArea>
      <c:layout/>
      <c:bar3DChart>
        <c:barDir val="col"/>
        <c:grouping val="stacked"/>
        <c:varyColors val="0"/>
        <c:ser>
          <c:idx val="3"/>
          <c:order val="0"/>
          <c:tx>
            <c:strRef>
              <c:f>基金残高の推移201203!$B$7</c:f>
              <c:strCache>
                <c:ptCount val="1"/>
                <c:pt idx="0">
                  <c:v>同　減債基金以外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基金残高の推移201203!$C$3:$H$3</c:f>
              <c:strCache>
                <c:ptCount val="5"/>
                <c:pt idx="0">
                  <c:v>20年度末</c:v>
                </c:pt>
                <c:pt idx="1">
                  <c:v>21年度末</c:v>
                </c:pt>
                <c:pt idx="2">
                  <c:v>22年度末</c:v>
                </c:pt>
                <c:pt idx="3">
                  <c:v>23年度末</c:v>
                </c:pt>
                <c:pt idx="4">
                  <c:v>24年5月末</c:v>
                </c:pt>
              </c:strCache>
            </c:strRef>
          </c:cat>
          <c:val>
            <c:numRef>
              <c:f>基金残高の推移201203!$C$7:$H$7</c:f>
              <c:numCache>
                <c:formatCode>#,##0_ </c:formatCode>
                <c:ptCount val="5"/>
                <c:pt idx="0">
                  <c:v>111809</c:v>
                </c:pt>
                <c:pt idx="1">
                  <c:v>259447</c:v>
                </c:pt>
                <c:pt idx="2">
                  <c:v>291671</c:v>
                </c:pt>
                <c:pt idx="3">
                  <c:v>330921</c:v>
                </c:pt>
                <c:pt idx="4">
                  <c:v>299881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A-48C7-870D-7A1BA706C928}"/>
            </c:ext>
          </c:extLst>
        </c:ser>
        <c:ser>
          <c:idx val="2"/>
          <c:order val="1"/>
          <c:tx>
            <c:strRef>
              <c:f>基金残高の推移201203!$B$6</c:f>
              <c:strCache>
                <c:ptCount val="1"/>
                <c:pt idx="0">
                  <c:v>繰り入れていない減債基金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基金残高の推移201203!$C$3:$H$3</c:f>
              <c:strCache>
                <c:ptCount val="5"/>
                <c:pt idx="0">
                  <c:v>20年度末</c:v>
                </c:pt>
                <c:pt idx="1">
                  <c:v>21年度末</c:v>
                </c:pt>
                <c:pt idx="2">
                  <c:v>22年度末</c:v>
                </c:pt>
                <c:pt idx="3">
                  <c:v>23年度末</c:v>
                </c:pt>
                <c:pt idx="4">
                  <c:v>24年5月末</c:v>
                </c:pt>
              </c:strCache>
            </c:strRef>
          </c:cat>
          <c:val>
            <c:numRef>
              <c:f>基金残高の推移201203!$C$6:$H$6</c:f>
              <c:numCache>
                <c:formatCode>#,##0_ </c:formatCode>
                <c:ptCount val="5"/>
                <c:pt idx="0">
                  <c:v>236414</c:v>
                </c:pt>
                <c:pt idx="1">
                  <c:v>186926</c:v>
                </c:pt>
                <c:pt idx="2">
                  <c:v>214137</c:v>
                </c:pt>
                <c:pt idx="3">
                  <c:v>281428</c:v>
                </c:pt>
                <c:pt idx="4">
                  <c:v>281428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3A-48C7-870D-7A1BA706C928}"/>
            </c:ext>
          </c:extLst>
        </c:ser>
        <c:ser>
          <c:idx val="1"/>
          <c:order val="2"/>
          <c:tx>
            <c:strRef>
              <c:f>基金残高の推移201203!$B$5</c:f>
              <c:strCache>
                <c:ptCount val="1"/>
                <c:pt idx="0">
                  <c:v>同　減債基金以外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基金残高の推移201203!$C$3:$H$3</c:f>
              <c:strCache>
                <c:ptCount val="5"/>
                <c:pt idx="0">
                  <c:v>20年度末</c:v>
                </c:pt>
                <c:pt idx="1">
                  <c:v>21年度末</c:v>
                </c:pt>
                <c:pt idx="2">
                  <c:v>22年度末</c:v>
                </c:pt>
                <c:pt idx="3">
                  <c:v>23年度末</c:v>
                </c:pt>
                <c:pt idx="4">
                  <c:v>24年5月末</c:v>
                </c:pt>
              </c:strCache>
            </c:strRef>
          </c:cat>
          <c:val>
            <c:numRef>
              <c:f>基金残高の推移201203!$C$5:$H$5</c:f>
              <c:numCache>
                <c:formatCode>#,##0_ </c:formatCode>
                <c:ptCount val="5"/>
                <c:pt idx="0">
                  <c:v>147600</c:v>
                </c:pt>
                <c:pt idx="1">
                  <c:v>147900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3A-48C7-870D-7A1BA706C928}"/>
            </c:ext>
          </c:extLst>
        </c:ser>
        <c:ser>
          <c:idx val="0"/>
          <c:order val="3"/>
          <c:tx>
            <c:strRef>
              <c:f>基金残高の推移201203!$B$4</c:f>
              <c:strCache>
                <c:ptCount val="1"/>
                <c:pt idx="0">
                  <c:v>繰り入れた減債基金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基金残高の推移201203!$C$3:$H$3</c:f>
              <c:strCache>
                <c:ptCount val="5"/>
                <c:pt idx="0">
                  <c:v>20年度末</c:v>
                </c:pt>
                <c:pt idx="1">
                  <c:v>21年度末</c:v>
                </c:pt>
                <c:pt idx="2">
                  <c:v>22年度末</c:v>
                </c:pt>
                <c:pt idx="3">
                  <c:v>23年度末</c:v>
                </c:pt>
                <c:pt idx="4">
                  <c:v>24年5月末</c:v>
                </c:pt>
              </c:strCache>
            </c:strRef>
          </c:cat>
          <c:val>
            <c:numRef>
              <c:f>基金残高の推移201203!$C$4:$H$4</c:f>
              <c:numCache>
                <c:formatCode>#,##0_);[Red]\(#,##0\)</c:formatCode>
                <c:ptCount val="5"/>
                <c:pt idx="0">
                  <c:v>520200</c:v>
                </c:pt>
                <c:pt idx="1">
                  <c:v>515003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3A-48C7-870D-7A1BA706C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257088"/>
        <c:axId val="153258624"/>
        <c:axId val="0"/>
      </c:bar3DChart>
      <c:catAx>
        <c:axId val="15325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258624"/>
        <c:crosses val="autoZero"/>
        <c:auto val="1"/>
        <c:lblAlgn val="ctr"/>
        <c:lblOffset val="100"/>
        <c:noMultiLvlLbl val="0"/>
      </c:catAx>
      <c:valAx>
        <c:axId val="153258624"/>
        <c:scaling>
          <c:orientation val="minMax"/>
        </c:scaling>
        <c:delete val="0"/>
        <c:axPos val="l"/>
        <c:majorGridlines/>
        <c:numFmt formatCode="#,##0_ " sourceLinked="1"/>
        <c:majorTickMark val="out"/>
        <c:minorTickMark val="none"/>
        <c:tickLblPos val="nextTo"/>
        <c:crossAx val="1532570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4C9D-CA5B-40FF-B9CE-014C42F9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9DB87-81D5-4974-9AD3-B47C9C68E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8717C-8998-48CD-A363-2CEE0F7AA3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B7EAB15-0732-451A-985C-E8C1CBFA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Suzuki, Takashi T. (AZSA/Osaka)</dc:creator>
  <cp:lastModifiedBy>大阪府</cp:lastModifiedBy>
  <cp:revision>2</cp:revision>
  <cp:lastPrinted>2012-10-02T06:50:00Z</cp:lastPrinted>
  <dcterms:created xsi:type="dcterms:W3CDTF">2020-11-13T05:42:00Z</dcterms:created>
  <dcterms:modified xsi:type="dcterms:W3CDTF">2020-11-13T05:42:00Z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