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9F1D" w14:textId="77777777" w:rsidR="00A14F65" w:rsidRPr="00C81ACA" w:rsidRDefault="00A14F65" w:rsidP="00A14F65">
      <w:pPr>
        <w:rPr>
          <w:b/>
          <w:kern w:val="0"/>
          <w:sz w:val="28"/>
        </w:rPr>
      </w:pPr>
      <w:bookmarkStart w:id="0" w:name="_GoBack"/>
      <w:bookmarkEnd w:id="0"/>
      <w:r w:rsidRPr="00C81ACA">
        <w:rPr>
          <w:rFonts w:hint="eastAsia"/>
          <w:b/>
          <w:kern w:val="0"/>
          <w:sz w:val="28"/>
        </w:rPr>
        <w:t>Ⅱ</w:t>
      </w:r>
      <w:r w:rsidRPr="00A14F65">
        <w:rPr>
          <w:rFonts w:hint="eastAsia"/>
          <w:b/>
          <w:spacing w:val="57"/>
          <w:kern w:val="0"/>
          <w:sz w:val="28"/>
          <w:fitText w:val="3840" w:id="176919809"/>
        </w:rPr>
        <w:t xml:space="preserve">　一般会計、特別会</w:t>
      </w:r>
      <w:r w:rsidRPr="00A14F65">
        <w:rPr>
          <w:rFonts w:hint="eastAsia"/>
          <w:b/>
          <w:spacing w:val="2"/>
          <w:kern w:val="0"/>
          <w:sz w:val="28"/>
          <w:fitText w:val="3840" w:id="176919809"/>
        </w:rPr>
        <w:t>計</w:t>
      </w:r>
    </w:p>
    <w:p w14:paraId="24B3EB09" w14:textId="77777777" w:rsidR="00A14F65" w:rsidRDefault="00A14F65" w:rsidP="00A14F65">
      <w:pPr>
        <w:ind w:firstLineChars="100" w:firstLine="203"/>
        <w:rPr>
          <w:kern w:val="0"/>
          <w:sz w:val="22"/>
          <w:szCs w:val="22"/>
        </w:rPr>
      </w:pPr>
      <w:r w:rsidRPr="005468EB">
        <w:rPr>
          <w:rFonts w:hint="eastAsia"/>
          <w:kern w:val="0"/>
          <w:sz w:val="22"/>
          <w:szCs w:val="22"/>
        </w:rPr>
        <w:t>１　概要</w:t>
      </w:r>
    </w:p>
    <w:p w14:paraId="254C8765" w14:textId="77777777" w:rsidR="00A14F65" w:rsidRPr="00727480" w:rsidRDefault="00A14F65" w:rsidP="00A14F65">
      <w:pPr>
        <w:ind w:firstLineChars="200" w:firstLine="407"/>
        <w:rPr>
          <w:kern w:val="0"/>
          <w:sz w:val="22"/>
          <w:szCs w:val="22"/>
        </w:rPr>
      </w:pPr>
      <w:r w:rsidRPr="00727480">
        <w:rPr>
          <w:rFonts w:hint="eastAsia"/>
          <w:kern w:val="0"/>
          <w:sz w:val="22"/>
          <w:szCs w:val="22"/>
        </w:rPr>
        <w:t>(1)　一般会計、特別会計の決算状況</w:t>
      </w:r>
    </w:p>
    <w:p w14:paraId="03F30057" w14:textId="77777777" w:rsidR="00A14F65" w:rsidRDefault="00A14F65" w:rsidP="00A14F65">
      <w:pPr>
        <w:rPr>
          <w:kern w:val="0"/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345A50F1" wp14:editId="07DFFB1B">
            <wp:extent cx="5391150" cy="3095625"/>
            <wp:effectExtent l="19050" t="0" r="0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0CA7F" w14:textId="77777777" w:rsidR="00A14F65" w:rsidRDefault="00A14F65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一般会計、特別会計の予算現額</w:t>
      </w:r>
      <w:r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兆1,019億8,000万円に対し、歳入決算額は</w:t>
      </w:r>
      <w:r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</w:t>
      </w:r>
    </w:p>
    <w:p w14:paraId="48452927" w14:textId="77777777" w:rsidR="00A14F65" w:rsidRPr="007A5106" w:rsidRDefault="00A14F65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695億8,300万円で収入歩合は99.21％となっている。</w:t>
      </w:r>
    </w:p>
    <w:p w14:paraId="20488DCB" w14:textId="77777777" w:rsidR="00A14F65" w:rsidRPr="007A5106" w:rsidRDefault="00A14F65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また、歳出決算額は</w:t>
      </w:r>
      <w:r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兆406億9,900万円でその執行率は98.51％となっている。</w:t>
      </w:r>
    </w:p>
    <w:p w14:paraId="1A74694F" w14:textId="77777777" w:rsidR="00A14F65" w:rsidRDefault="00A14F65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当年度の決算額を前年度と比較すると、歳入決算額で8,535億1,400万円、率にして</w:t>
      </w:r>
    </w:p>
    <w:p w14:paraId="7EF8B6E4" w14:textId="77777777" w:rsidR="00A14F65" w:rsidRPr="003207DE" w:rsidRDefault="00A14F65" w:rsidP="00A14F65">
      <w:pPr>
        <w:spacing w:line="360" w:lineRule="exact"/>
        <w:ind w:firstLineChars="300" w:firstLine="610"/>
        <w:rPr>
          <w:rFonts w:hAnsi="ＭＳ 明朝"/>
          <w:kern w:val="0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17.34％、歳出決算額で8,397億100万円、率にして17.21％の減少となっている。</w:t>
      </w:r>
    </w:p>
    <w:p w14:paraId="268D35B3" w14:textId="77777777" w:rsidR="00A14F65" w:rsidRPr="00E45ECE" w:rsidRDefault="00A14F65" w:rsidP="00A14F65">
      <w:pPr>
        <w:rPr>
          <w:rFonts w:hAnsi="ＭＳ 明朝"/>
          <w:kern w:val="0"/>
          <w:sz w:val="22"/>
          <w:szCs w:val="22"/>
        </w:rPr>
      </w:pPr>
    </w:p>
    <w:p w14:paraId="1251EB06" w14:textId="77777777" w:rsidR="00A14F65" w:rsidRDefault="00A14F65" w:rsidP="00A14F65"/>
    <w:p w14:paraId="6BB1F43B" w14:textId="77777777" w:rsidR="00A14F65" w:rsidRDefault="00A14F65" w:rsidP="00A14F65">
      <w:pPr>
        <w:widowControl/>
        <w:jc w:val="left"/>
      </w:pPr>
      <w:r>
        <w:br w:type="page"/>
      </w:r>
    </w:p>
    <w:p w14:paraId="24F37E56" w14:textId="77777777" w:rsidR="00A14F65" w:rsidRPr="003F4D37" w:rsidRDefault="00A14F65" w:rsidP="00A14F65">
      <w:pPr>
        <w:ind w:firstLineChars="100" w:firstLine="203"/>
        <w:rPr>
          <w:color w:val="FFFFFF"/>
          <w:kern w:val="0"/>
          <w:sz w:val="22"/>
          <w:szCs w:val="22"/>
        </w:rPr>
      </w:pPr>
      <w:r w:rsidRPr="003F4D37">
        <w:rPr>
          <w:rFonts w:hint="eastAsia"/>
          <w:color w:val="FFFFFF"/>
          <w:kern w:val="0"/>
          <w:sz w:val="22"/>
          <w:szCs w:val="22"/>
        </w:rPr>
        <w:lastRenderedPageBreak/>
        <w:t>１　概要</w:t>
      </w:r>
    </w:p>
    <w:p w14:paraId="2C42694F" w14:textId="77777777" w:rsidR="00A14F65" w:rsidRDefault="00A14F65" w:rsidP="00A14F65">
      <w:pPr>
        <w:ind w:firstLineChars="200" w:firstLine="407"/>
        <w:rPr>
          <w:sz w:val="22"/>
          <w:szCs w:val="22"/>
        </w:rPr>
      </w:pPr>
      <w:r w:rsidRPr="00C05877">
        <w:rPr>
          <w:rFonts w:asciiTheme="minorEastAsia" w:eastAsiaTheme="minorEastAsia" w:hAnsiTheme="minorEastAsia" w:hint="eastAsia"/>
          <w:sz w:val="22"/>
          <w:szCs w:val="22"/>
        </w:rPr>
        <w:t>(2)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一般会計、特別会計の純計</w:t>
      </w:r>
    </w:p>
    <w:p w14:paraId="0ACEBACB" w14:textId="77777777" w:rsidR="00A14F65" w:rsidRPr="00E120E1" w:rsidRDefault="00A14F65" w:rsidP="00A14F65">
      <w:pPr>
        <w:ind w:leftChars="200" w:left="940" w:hangingChars="286" w:hanging="553"/>
        <w:rPr>
          <w:noProof/>
          <w:szCs w:val="22"/>
        </w:rPr>
      </w:pPr>
    </w:p>
    <w:p w14:paraId="37E0AEFA" w14:textId="77777777" w:rsidR="00A14F65" w:rsidRDefault="00A14F65" w:rsidP="00A14F65">
      <w:pPr>
        <w:ind w:leftChars="200" w:left="940" w:hangingChars="286" w:hanging="553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36B0EE36" wp14:editId="3CAF5852">
            <wp:extent cx="5829300" cy="4000500"/>
            <wp:effectExtent l="1905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56D42" w14:textId="77777777" w:rsidR="00A14F65" w:rsidRDefault="00A14F65" w:rsidP="00A14F65">
      <w:pPr>
        <w:ind w:firstLineChars="200" w:firstLine="407"/>
        <w:rPr>
          <w:sz w:val="22"/>
          <w:szCs w:val="22"/>
        </w:rPr>
      </w:pPr>
    </w:p>
    <w:p w14:paraId="025D5EE9" w14:textId="77777777" w:rsidR="00A14F65" w:rsidRDefault="00A14F65" w:rsidP="00A14F65">
      <w:pPr>
        <w:spacing w:line="360" w:lineRule="exact"/>
        <w:ind w:leftChars="202" w:left="390" w:firstLineChars="200" w:firstLine="407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一般会計と特別会計、特別会計相互の間に繰入れ、繰出しがあるので、その重複部</w:t>
      </w:r>
    </w:p>
    <w:p w14:paraId="530ED3A1" w14:textId="77777777" w:rsidR="00A14F65" w:rsidRDefault="00A14F65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分を差し引いた歳入純計額は</w:t>
      </w:r>
      <w:r>
        <w:rPr>
          <w:rFonts w:hAnsi="ＭＳ 明朝" w:hint="eastAsia"/>
          <w:sz w:val="22"/>
          <w:szCs w:val="22"/>
        </w:rPr>
        <w:t>３</w:t>
      </w:r>
      <w:r w:rsidRPr="007A5106">
        <w:rPr>
          <w:rFonts w:hAnsi="ＭＳ 明朝" w:hint="eastAsia"/>
          <w:sz w:val="22"/>
          <w:szCs w:val="22"/>
        </w:rPr>
        <w:t>兆7,425億5,400万円で、前年度と比較して8,465億</w:t>
      </w:r>
    </w:p>
    <w:p w14:paraId="7AD9B02A" w14:textId="77777777" w:rsidR="00A14F65" w:rsidRDefault="00A14F65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7,700万円、18.45％の減少となっており、歳出純計額は</w:t>
      </w:r>
      <w:r>
        <w:rPr>
          <w:rFonts w:hAnsi="ＭＳ 明朝" w:hint="eastAsia"/>
          <w:sz w:val="22"/>
          <w:szCs w:val="22"/>
        </w:rPr>
        <w:t>３</w:t>
      </w:r>
      <w:r w:rsidRPr="007A5106">
        <w:rPr>
          <w:rFonts w:hAnsi="ＭＳ 明朝" w:hint="eastAsia"/>
          <w:sz w:val="22"/>
          <w:szCs w:val="22"/>
        </w:rPr>
        <w:t>兆7,136億7,000万円で、</w:t>
      </w:r>
    </w:p>
    <w:p w14:paraId="0C482296" w14:textId="77777777" w:rsidR="00A14F65" w:rsidRPr="00054C34" w:rsidRDefault="00A14F65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前年度と比較して8,327億6,400万円、18.32％の減少となっている。</w:t>
      </w:r>
    </w:p>
    <w:p w14:paraId="46639A8D" w14:textId="77777777" w:rsidR="00A14F65" w:rsidRPr="00375F79" w:rsidRDefault="00A14F65" w:rsidP="00A14F65">
      <w:pPr>
        <w:spacing w:line="360" w:lineRule="exact"/>
        <w:ind w:leftChars="410" w:left="792" w:firstLineChars="100" w:firstLine="203"/>
        <w:rPr>
          <w:rFonts w:hAnsi="ＭＳ 明朝"/>
          <w:sz w:val="22"/>
          <w:szCs w:val="22"/>
        </w:rPr>
      </w:pPr>
    </w:p>
    <w:p w14:paraId="762CE6B1" w14:textId="77777777" w:rsidR="00A14F65" w:rsidRDefault="00A14F65" w:rsidP="00A14F65"/>
    <w:p w14:paraId="339AFB7A" w14:textId="77777777" w:rsidR="00A14F65" w:rsidRDefault="00A14F65" w:rsidP="00A14F65">
      <w:pPr>
        <w:widowControl/>
        <w:jc w:val="left"/>
      </w:pPr>
      <w:r>
        <w:br w:type="page"/>
      </w:r>
    </w:p>
    <w:p w14:paraId="5BAE55CE" w14:textId="77777777" w:rsidR="00A14F65" w:rsidRDefault="00A14F65" w:rsidP="00A14F65">
      <w:pPr>
        <w:ind w:firstLineChars="200" w:firstLine="407"/>
        <w:rPr>
          <w:sz w:val="22"/>
          <w:szCs w:val="22"/>
        </w:rPr>
      </w:pPr>
      <w:r w:rsidRPr="00C05877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(3)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一般会計、特別会計の実質収支</w:t>
      </w:r>
    </w:p>
    <w:p w14:paraId="4A1E9B8C" w14:textId="77777777" w:rsidR="00A14F65" w:rsidRDefault="00A14F65" w:rsidP="00A14F65">
      <w:pPr>
        <w:ind w:leftChars="270" w:left="599" w:rightChars="53" w:right="102" w:hangingChars="40" w:hanging="77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2DDC1F4D" wp14:editId="70A99AD2">
            <wp:extent cx="5610225" cy="3831604"/>
            <wp:effectExtent l="19050" t="0" r="952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563" cy="383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2304A" w14:textId="77777777" w:rsidR="00A14F65" w:rsidRPr="00630801" w:rsidRDefault="00A14F65" w:rsidP="00A14F65">
      <w:pPr>
        <w:ind w:leftChars="270" w:left="599" w:hangingChars="40" w:hanging="77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 wp14:anchorId="35A55FED" wp14:editId="245DE7AF">
            <wp:extent cx="4010025" cy="2502642"/>
            <wp:effectExtent l="19050" t="0" r="952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37" cy="25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345F8" w14:textId="77777777" w:rsidR="00A14F65" w:rsidRDefault="00A14F65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一般会計における歳入総額から歳出総額を差し引いた形式収支は、</w:t>
      </w:r>
      <w:r>
        <w:rPr>
          <w:rFonts w:hAnsi="ＭＳ 明朝" w:hint="eastAsia"/>
          <w:sz w:val="22"/>
          <w:szCs w:val="22"/>
        </w:rPr>
        <w:t>183</w:t>
      </w:r>
      <w:r w:rsidRPr="00C04033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2,0</w:t>
      </w:r>
      <w:r w:rsidRPr="00C04033">
        <w:rPr>
          <w:rFonts w:hAnsi="ＭＳ 明朝" w:hint="eastAsia"/>
          <w:sz w:val="22"/>
          <w:szCs w:val="22"/>
        </w:rPr>
        <w:t>00万</w:t>
      </w:r>
    </w:p>
    <w:p w14:paraId="48E0390C" w14:textId="77777777" w:rsidR="00A14F65" w:rsidRPr="00C04033" w:rsidRDefault="00A14F65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円の黒字で、</w:t>
      </w:r>
      <w:r>
        <w:rPr>
          <w:rFonts w:hAnsi="ＭＳ 明朝" w:hint="eastAsia"/>
          <w:sz w:val="22"/>
          <w:szCs w:val="22"/>
        </w:rPr>
        <w:t>６</w:t>
      </w:r>
      <w:r w:rsidRPr="00C04033">
        <w:rPr>
          <w:rFonts w:hAnsi="ＭＳ 明朝" w:hint="eastAsia"/>
          <w:sz w:val="22"/>
          <w:szCs w:val="22"/>
        </w:rPr>
        <w:t>年連続の黒字となった。</w:t>
      </w:r>
    </w:p>
    <w:p w14:paraId="5CF9683C" w14:textId="77777777" w:rsidR="00A14F65" w:rsidRDefault="00A14F65" w:rsidP="00A14F65">
      <w:pPr>
        <w:spacing w:line="360" w:lineRule="exact"/>
        <w:ind w:leftChars="322" w:left="622" w:firstLineChars="100" w:firstLine="203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歳入総額の中には翌年度へ繰り越すべき財源</w:t>
      </w:r>
      <w:r>
        <w:rPr>
          <w:rFonts w:hAnsi="ＭＳ 明朝" w:hint="eastAsia"/>
          <w:sz w:val="22"/>
          <w:szCs w:val="22"/>
        </w:rPr>
        <w:t>77</w:t>
      </w:r>
      <w:r w:rsidRPr="00C04033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7,500</w:t>
      </w:r>
      <w:r w:rsidRPr="00C04033">
        <w:rPr>
          <w:rFonts w:hAnsi="ＭＳ 明朝" w:hint="eastAsia"/>
          <w:sz w:val="22"/>
          <w:szCs w:val="22"/>
        </w:rPr>
        <w:t>万円が含まれており、形</w:t>
      </w:r>
    </w:p>
    <w:p w14:paraId="6720AEB2" w14:textId="77777777" w:rsidR="00A14F65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式収支からこれを差し引いた実質収支は</w:t>
      </w:r>
      <w:r>
        <w:rPr>
          <w:rFonts w:hAnsi="ＭＳ 明朝" w:hint="eastAsia"/>
          <w:sz w:val="22"/>
          <w:szCs w:val="22"/>
        </w:rPr>
        <w:t>105</w:t>
      </w:r>
      <w:r w:rsidRPr="00C04033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4,400</w:t>
      </w:r>
      <w:r w:rsidRPr="00C04033">
        <w:rPr>
          <w:rFonts w:hAnsi="ＭＳ 明朝" w:hint="eastAsia"/>
          <w:sz w:val="22"/>
          <w:szCs w:val="22"/>
        </w:rPr>
        <w:t>万円の黒字となっている。実質</w:t>
      </w:r>
    </w:p>
    <w:p w14:paraId="6BDAC7E4" w14:textId="77777777" w:rsidR="00A14F65" w:rsidRPr="00C04033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収支は前年度に比べ、</w:t>
      </w:r>
      <w:r>
        <w:rPr>
          <w:rFonts w:hAnsi="ＭＳ 明朝" w:hint="eastAsia"/>
          <w:sz w:val="22"/>
          <w:szCs w:val="22"/>
        </w:rPr>
        <w:t>151</w:t>
      </w:r>
      <w:r w:rsidRPr="00C04033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9,500万円悪化したが</w:t>
      </w:r>
      <w:r w:rsidRPr="00C0403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４年</w:t>
      </w:r>
      <w:r w:rsidRPr="00C04033">
        <w:rPr>
          <w:rFonts w:hAnsi="ＭＳ 明朝" w:hint="eastAsia"/>
          <w:sz w:val="22"/>
          <w:szCs w:val="22"/>
        </w:rPr>
        <w:t xml:space="preserve">連続の黒字となった。　</w:t>
      </w:r>
    </w:p>
    <w:p w14:paraId="43335EE1" w14:textId="77777777" w:rsidR="00A14F65" w:rsidRDefault="00A14F65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</w:rPr>
      </w:pPr>
      <w:r w:rsidRPr="00C04033">
        <w:rPr>
          <w:rFonts w:hAnsi="ＭＳ 明朝" w:hint="eastAsia"/>
          <w:sz w:val="22"/>
          <w:szCs w:val="22"/>
        </w:rPr>
        <w:t>一方、特別会計における実質収支は</w:t>
      </w:r>
      <w:r>
        <w:rPr>
          <w:rFonts w:hAnsi="ＭＳ 明朝" w:hint="eastAsia"/>
          <w:sz w:val="22"/>
          <w:szCs w:val="22"/>
        </w:rPr>
        <w:t>98</w:t>
      </w:r>
      <w:r w:rsidRPr="00C04033">
        <w:rPr>
          <w:rFonts w:hAnsi="ＭＳ 明朝" w:hint="eastAsia"/>
          <w:sz w:val="22"/>
          <w:szCs w:val="22"/>
        </w:rPr>
        <w:t>億円の黒字となっている。</w:t>
      </w:r>
    </w:p>
    <w:p w14:paraId="24CBAA8B" w14:textId="77777777" w:rsidR="00A65959" w:rsidRPr="00A14F65" w:rsidRDefault="00A65959"/>
    <w:sectPr w:rsidR="00A65959" w:rsidRPr="00A14F65" w:rsidSect="00A14F6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5"/>
    <w:rsid w:val="00526DA8"/>
    <w:rsid w:val="00A14F65"/>
    <w:rsid w:val="00A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C9378"/>
  <w15:docId w15:val="{A4B86DA1-2B16-4CA9-A832-7D088E3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6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62751-188B-484B-94EB-F136EEC0E598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9C6EB0-FFC9-40DB-8D4C-7F8BB9D30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5909E-CD9A-49CA-AB2E-D1A86EC9A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</cp:revision>
  <dcterms:created xsi:type="dcterms:W3CDTF">2020-11-13T05:41:00Z</dcterms:created>
  <dcterms:modified xsi:type="dcterms:W3CDTF">2020-11-13T05:41:00Z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