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2E" w:rsidRPr="00A770FA" w:rsidRDefault="00E35746" w:rsidP="00A770FA">
      <w:pPr>
        <w:tabs>
          <w:tab w:val="left" w:pos="35"/>
        </w:tabs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A770FA">
        <w:rPr>
          <w:rFonts w:ascii="ＭＳ ゴシック" w:eastAsia="ＭＳ ゴシック" w:hAnsi="ＭＳ ゴシック"/>
          <w:sz w:val="24"/>
          <w:szCs w:val="24"/>
        </w:rPr>
        <w:tab/>
      </w:r>
      <w:r w:rsidR="00907922" w:rsidRPr="00A770FA">
        <w:rPr>
          <w:rFonts w:ascii="ＭＳ ゴシック" w:eastAsia="ＭＳ ゴシック" w:hAnsi="ＭＳ ゴシック" w:hint="eastAsia"/>
          <w:sz w:val="28"/>
          <w:szCs w:val="28"/>
        </w:rPr>
        <w:t>大阪府立男女共同参画・青少年センター</w:t>
      </w:r>
      <w:r w:rsidR="00883FC3" w:rsidRPr="00A770FA">
        <w:rPr>
          <w:rFonts w:ascii="ＭＳ ゴシック" w:eastAsia="ＭＳ ゴシック" w:hAnsi="ＭＳ ゴシック" w:hint="eastAsia"/>
          <w:sz w:val="28"/>
          <w:szCs w:val="28"/>
        </w:rPr>
        <w:t>の利用率</w:t>
      </w:r>
      <w:r w:rsidR="00745354" w:rsidRPr="00A770F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45354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0E316A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A770FA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745354" w:rsidRPr="00A770FA">
        <w:rPr>
          <w:rFonts w:ascii="ＭＳ ゴシック" w:eastAsia="ＭＳ ゴシック" w:hAnsi="ＭＳ ゴシック" w:hint="eastAsia"/>
          <w:sz w:val="28"/>
          <w:szCs w:val="28"/>
        </w:rPr>
        <w:t>担当課：</w:t>
      </w:r>
      <w:r w:rsidR="00155AED" w:rsidRPr="00A770FA">
        <w:rPr>
          <w:rFonts w:ascii="ＭＳ ゴシック" w:eastAsia="ＭＳ ゴシック" w:hAnsi="ＭＳ ゴシック" w:hint="eastAsia"/>
          <w:sz w:val="28"/>
          <w:szCs w:val="28"/>
        </w:rPr>
        <w:t>府民文化部</w:t>
      </w:r>
      <w:r w:rsidR="005514D0" w:rsidRPr="00A770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F0BD5" w:rsidRPr="00A770FA">
        <w:rPr>
          <w:rFonts w:ascii="ＭＳ ゴシック" w:eastAsia="ＭＳ ゴシック" w:hAnsi="ＭＳ ゴシック" w:hint="eastAsia"/>
          <w:sz w:val="28"/>
          <w:szCs w:val="28"/>
        </w:rPr>
        <w:t>男女参画・府民協働課</w:t>
      </w:r>
      <w:r w:rsidR="003A35F3" w:rsidRPr="00A770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A35F3" w:rsidRPr="00A77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="108" w:tblpY="2"/>
        <w:tblW w:w="0" w:type="auto"/>
        <w:tblLayout w:type="fixed"/>
        <w:tblLook w:val="04A0" w:firstRow="1" w:lastRow="0" w:firstColumn="1" w:lastColumn="0" w:noHBand="0" w:noVBand="1"/>
      </w:tblPr>
      <w:tblGrid>
        <w:gridCol w:w="7211"/>
        <w:gridCol w:w="7211"/>
        <w:gridCol w:w="6098"/>
      </w:tblGrid>
      <w:tr w:rsidR="00041D70" w:rsidRPr="00A770FA" w:rsidTr="00A770FA">
        <w:trPr>
          <w:trHeight w:val="300"/>
        </w:trPr>
        <w:tc>
          <w:tcPr>
            <w:tcW w:w="7211" w:type="dxa"/>
            <w:hideMark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事務事業の</w:t>
            </w:r>
            <w:r w:rsidR="00534D1A"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7211" w:type="dxa"/>
            <w:hideMark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6098" w:type="dxa"/>
          </w:tcPr>
          <w:p w:rsidR="00BE305B" w:rsidRPr="00A770FA" w:rsidRDefault="00BE305B" w:rsidP="00A770FA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監査の</w:t>
            </w:r>
            <w:r w:rsidR="005B42D6" w:rsidRPr="00A770FA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結果</w:t>
            </w:r>
          </w:p>
        </w:tc>
      </w:tr>
      <w:tr w:rsidR="00041D70" w:rsidRPr="00A770FA" w:rsidTr="00A770FA">
        <w:trPr>
          <w:trHeight w:val="9159"/>
        </w:trPr>
        <w:tc>
          <w:tcPr>
            <w:tcW w:w="7211" w:type="dxa"/>
            <w:vMerge w:val="restart"/>
          </w:tcPr>
          <w:p w:rsidR="00A770FA" w:rsidRPr="00A770FA" w:rsidRDefault="00A770FA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24C8" w:rsidRPr="00A770FA" w:rsidRDefault="00BC1EE8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="00B024C8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大阪府立男女共同参画・青少年センター（以下「ドーンセンター」という。）</w:t>
            </w:r>
            <w:r w:rsidR="00DA178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の利用率について</w:t>
            </w:r>
          </w:p>
          <w:p w:rsidR="00DA1780" w:rsidRPr="00A770FA" w:rsidRDefault="00DA1780" w:rsidP="00A770F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ind w:leftChars="0" w:hanging="50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ドーンセンターの概要</w:t>
            </w:r>
          </w:p>
          <w:p w:rsidR="00145641" w:rsidRPr="00A770FA" w:rsidRDefault="00BC1EE8" w:rsidP="00A770FA">
            <w:pPr>
              <w:autoSpaceDE w:val="0"/>
              <w:autoSpaceDN w:val="0"/>
              <w:ind w:leftChars="207" w:left="708" w:hangingChars="119" w:hanging="2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ア　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年に開設。財団法人大阪府男女共同参画推進財団</w:t>
            </w:r>
            <w:r w:rsidR="00E27DC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（以下「男女財団」という。）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に施設管理業務を委託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5641" w:rsidRPr="00A770FA" w:rsidRDefault="00BC1EE8" w:rsidP="00A770FA">
            <w:pPr>
              <w:autoSpaceDE w:val="0"/>
              <w:autoSpaceDN w:val="0"/>
              <w:ind w:leftChars="233" w:left="694" w:hangingChars="90" w:hanging="2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平成18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年度より指定管理者制度を導入し、</w:t>
            </w:r>
            <w:r w:rsidR="00145641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現在、指定管理２期目</w:t>
            </w:r>
            <w:r w:rsidR="004E7BD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(指定管理者</w:t>
            </w:r>
            <w:r w:rsidR="00AA373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4E7BD0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：ドーン運営共同体)</w:t>
            </w:r>
            <w:r w:rsidR="00387BA2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5641" w:rsidRPr="00A770FA" w:rsidRDefault="00387BA2" w:rsidP="00A770FA">
            <w:pPr>
              <w:autoSpaceDE w:val="0"/>
              <w:autoSpaceDN w:val="0"/>
              <w:ind w:leftChars="199" w:left="695" w:hangingChars="120" w:hanging="284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イ　</w:t>
            </w:r>
            <w:r w:rsidR="00CF6EE5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設置目的：府の</w:t>
            </w:r>
            <w:r w:rsidR="00287A5B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男女共同参画施策及び青少年活動の拠点</w:t>
            </w:r>
            <w:r w:rsidR="00CF6EE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として様々な事業を実施するための目的施設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974262" w:rsidRPr="00A770FA" w:rsidRDefault="00387BA2" w:rsidP="00A770FA">
            <w:pPr>
              <w:autoSpaceDE w:val="0"/>
              <w:autoSpaceDN w:val="0"/>
              <w:ind w:leftChars="199" w:left="695" w:hangingChars="120" w:hanging="284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ウ　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運営目標の基本方針：</w:t>
            </w:r>
            <w:r w:rsidR="00CF6EE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目的施設としての施設の性格を踏まえ、施設の利用促進を図る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とともに</w:t>
            </w:r>
            <w:r w:rsidR="0097426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安全で</w:t>
            </w:r>
            <w:r w:rsidR="00500342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効果的かつ効率的な管理運営を進め、施設目的の達成に寄与すること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5B53D2" w:rsidRPr="00A770FA" w:rsidRDefault="005B53D2" w:rsidP="00A770FA">
            <w:pPr>
              <w:autoSpaceDE w:val="0"/>
              <w:autoSpaceDN w:val="0"/>
              <w:ind w:leftChars="200" w:left="886" w:hangingChars="200" w:hanging="473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45641" w:rsidRPr="00A770FA" w:rsidRDefault="00BC1EE8" w:rsidP="00A770FA">
            <w:pPr>
              <w:autoSpaceDE w:val="0"/>
              <w:autoSpaceDN w:val="0"/>
              <w:ind w:firstLineChars="60" w:firstLine="142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(2)</w:t>
            </w:r>
            <w:r w:rsidR="00AA5E8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利用率の推移</w:t>
            </w:r>
          </w:p>
          <w:p w:rsidR="003B7F2C" w:rsidRPr="00A770FA" w:rsidRDefault="003B7F2C" w:rsidP="00A770FA">
            <w:pPr>
              <w:autoSpaceDE w:val="0"/>
              <w:autoSpaceDN w:val="0"/>
              <w:ind w:leftChars="200" w:left="649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ア　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指定管理制度が導入された平成18</w:t>
            </w:r>
            <w:r w:rsidR="00DD05F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年以降の利用率の推移をみると、下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表の</w:t>
            </w:r>
            <w:r w:rsidR="0040603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とおり</w:t>
            </w:r>
            <w:r w:rsidR="00145641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横ばい。</w:t>
            </w:r>
          </w:p>
          <w:p w:rsidR="00695CC0" w:rsidRPr="00A770FA" w:rsidRDefault="006C66B4" w:rsidP="00A770FA">
            <w:pPr>
              <w:autoSpaceDE w:val="0"/>
              <w:autoSpaceDN w:val="0"/>
              <w:ind w:leftChars="200" w:left="413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/>
                <w:noProof/>
                <w:sz w:val="24"/>
                <w:szCs w:val="24"/>
              </w:rPr>
              <w:drawing>
                <wp:inline distT="0" distB="0" distL="0" distR="0" wp14:anchorId="6CFCB37E" wp14:editId="357EDDD0">
                  <wp:extent cx="4137313" cy="641268"/>
                  <wp:effectExtent l="19050" t="0" r="0" b="0"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842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EE1" w:rsidRPr="00A770FA" w:rsidRDefault="003B7F2C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イ　利用目的別比率</w:t>
            </w:r>
          </w:p>
          <w:p w:rsidR="00FD4EE1" w:rsidRPr="00A770FA" w:rsidRDefault="00D56620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/>
                <w:noProof/>
                <w:sz w:val="24"/>
                <w:szCs w:val="24"/>
              </w:rPr>
              <w:drawing>
                <wp:inline distT="0" distB="0" distL="0" distR="0" wp14:anchorId="5F1043C3" wp14:editId="0E046975">
                  <wp:extent cx="4125438" cy="1068779"/>
                  <wp:effectExtent l="19050" t="0" r="8412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152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6B4" w:rsidRPr="00A770FA" w:rsidRDefault="006C66B4" w:rsidP="00A770FA">
            <w:pPr>
              <w:autoSpaceDE w:val="0"/>
              <w:autoSpaceDN w:val="0"/>
              <w:ind w:firstLineChars="180" w:firstLine="425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40603E" w:rsidRPr="00A770FA" w:rsidRDefault="00BC1EE8" w:rsidP="00A770FA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(3)</w:t>
            </w:r>
            <w:r w:rsidR="00AA5E8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　</w:t>
            </w:r>
            <w:r w:rsidR="0040603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利用率の目標値</w:t>
            </w:r>
          </w:p>
          <w:p w:rsidR="00EC1F23" w:rsidRPr="00A770FA" w:rsidRDefault="0040603E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平成24年</w:t>
            </w:r>
            <w:r w:rsidR="00F876F9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度以降の利用率目標値は、指定管理者であるドーン運営共同体の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構成員である</w:t>
            </w: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男女</w:t>
            </w:r>
            <w:r w:rsidR="00F876F9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財団作成の「中期経営プラン」の中で示されている。</w:t>
            </w:r>
          </w:p>
          <w:p w:rsidR="00594AFB" w:rsidRPr="00A770FA" w:rsidRDefault="00594AFB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AFB" w:rsidRPr="00A770FA" w:rsidRDefault="00594AFB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6A51" w:rsidRPr="00A770FA" w:rsidRDefault="00906A51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6A51" w:rsidRPr="00A770FA" w:rsidRDefault="00000CAC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E6A45" wp14:editId="0D4FBE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-9525</wp:posOffset>
                      </wp:positionV>
                      <wp:extent cx="45720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75pt" to="35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" strokecolor="black [3040]"/>
                  </w:pict>
                </mc:Fallback>
              </mc:AlternateContent>
            </w:r>
          </w:p>
          <w:p w:rsidR="00906A51" w:rsidRPr="00A770FA" w:rsidRDefault="00906A51" w:rsidP="00A770FA">
            <w:pPr>
              <w:autoSpaceDE w:val="0"/>
              <w:autoSpaceDN w:val="0"/>
              <w:ind w:leftChars="337" w:left="695" w:firstLineChars="58" w:firstLine="13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1" w:type="dxa"/>
          </w:tcPr>
          <w:p w:rsidR="00A770FA" w:rsidRPr="00A770FA" w:rsidRDefault="00A770FA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A2397" w:rsidRPr="00A770FA" w:rsidRDefault="00BC1EE8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１　</w:t>
            </w:r>
            <w:r w:rsidR="00EA2397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指定管理者制度導入以降、利用率はほぼ横ばいで、向上が見られない。</w:t>
            </w:r>
          </w:p>
          <w:p w:rsidR="00EA2397" w:rsidRPr="00A770FA" w:rsidRDefault="00F876F9" w:rsidP="00A770F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２　</w:t>
            </w:r>
            <w:r w:rsidR="00EA2397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平成23年度以前は、利用率の目標値が設定されていなかった。</w:t>
            </w:r>
          </w:p>
          <w:p w:rsidR="00EA2397" w:rsidRPr="00A770FA" w:rsidRDefault="00F876F9" w:rsidP="00A770FA">
            <w:pPr>
              <w:autoSpaceDE w:val="0"/>
              <w:autoSpaceDN w:val="0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平成24</w:t>
            </w: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年度以降は、利用率の目標値が設定されているが、以下の</w:t>
            </w:r>
            <w:r w:rsidR="005D0425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問題がある。</w:t>
            </w:r>
          </w:p>
          <w:p w:rsidR="00EA2397" w:rsidRPr="00A770FA" w:rsidRDefault="00F876F9" w:rsidP="00A770FA">
            <w:pPr>
              <w:autoSpaceDE w:val="0"/>
              <w:autoSpaceDN w:val="0"/>
              <w:ind w:left="586" w:hangingChars="248" w:hanging="58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（1</w:t>
            </w:r>
            <w:r w:rsidRPr="00A770FA">
              <w:rPr>
                <w:rFonts w:asciiTheme="minorEastAsia" w:eastAsiaTheme="minorEastAsia" w:hAnsiTheme="minorEastAsia" w:cs="Arial"/>
                <w:sz w:val="24"/>
                <w:szCs w:val="24"/>
              </w:rPr>
              <w:t>）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指定管理者</w:t>
            </w:r>
            <w:r w:rsidR="005D0425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の一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構成員である</w:t>
            </w:r>
            <w:r w:rsidR="00EA2397"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男女財団が作成した「中期経営プラン」で示された目標値</w:t>
            </w:r>
            <w:r w:rsidR="00DE543A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を府は</w:t>
            </w:r>
            <w:r w:rsidR="00AF676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了承しているだけであり、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主体的に設定していない。</w:t>
            </w:r>
          </w:p>
          <w:p w:rsidR="00145641" w:rsidRPr="00A770FA" w:rsidRDefault="00F876F9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（2</w:t>
            </w:r>
            <w:r w:rsidRPr="00A770FA">
              <w:rPr>
                <w:rFonts w:asciiTheme="minorEastAsia" w:eastAsiaTheme="minorEastAsia" w:hAnsiTheme="minorEastAsia" w:cs="Arial"/>
                <w:sz w:val="24"/>
                <w:szCs w:val="24"/>
              </w:rPr>
              <w:t>）</w:t>
            </w:r>
            <w:r w:rsidR="005514D0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利用</w:t>
            </w:r>
            <w:r w:rsidR="00A035BF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目的別の利用率目標は</w:t>
            </w:r>
            <w:r w:rsidR="003B52AE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設定されていない。</w:t>
            </w:r>
          </w:p>
          <w:p w:rsidR="00501013" w:rsidRPr="00A770FA" w:rsidRDefault="00501013" w:rsidP="00A770FA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D85E9E" w:rsidRDefault="00D85E9E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770FA" w:rsidRDefault="00A770FA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000CAC" w:rsidRPr="00A770FA" w:rsidRDefault="00000CAC" w:rsidP="00A770FA">
            <w:pPr>
              <w:autoSpaceDE w:val="0"/>
              <w:autoSpaceDN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098" w:type="dxa"/>
          </w:tcPr>
          <w:p w:rsidR="00A770FA" w:rsidRPr="00E36B8E" w:rsidRDefault="00E36B8E" w:rsidP="00E36B8E">
            <w:pPr>
              <w:autoSpaceDE w:val="0"/>
              <w:autoSpaceDN w:val="0"/>
              <w:rPr>
                <w:rFonts w:ascii="ＭＳ ゴシック" w:eastAsia="ＭＳ ゴシック" w:hAnsi="ＭＳ ゴシック" w:cs="Arial"/>
                <w:sz w:val="24"/>
                <w:szCs w:val="24"/>
              </w:rPr>
            </w:pPr>
            <w:r w:rsidRPr="00E36B8E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【改善を求めるもの(意見)】</w:t>
            </w:r>
          </w:p>
          <w:p w:rsidR="00D93C90" w:rsidRPr="00A770FA" w:rsidRDefault="00F876F9" w:rsidP="00A770FA">
            <w:pPr>
              <w:autoSpaceDE w:val="0"/>
              <w:autoSpaceDN w:val="0"/>
              <w:ind w:left="175"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ドーンセンターが公の施設であることに鑑みると、府がこれまで目標値を設定してこなかったことは問題である。府は早急に目標</w:t>
            </w:r>
            <w:r w:rsidR="00AF6768"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値</w:t>
            </w:r>
            <w:r w:rsidRPr="00A770F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を設定するとともに、適宜、目標の達成状況とその要因を把握・評価する必要がある。</w:t>
            </w:r>
          </w:p>
        </w:tc>
      </w:tr>
      <w:tr w:rsidR="00041D70" w:rsidRPr="00A770FA" w:rsidTr="00A770FA">
        <w:trPr>
          <w:trHeight w:val="299"/>
        </w:trPr>
        <w:tc>
          <w:tcPr>
            <w:tcW w:w="7211" w:type="dxa"/>
            <w:vMerge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9" w:type="dxa"/>
            <w:gridSpan w:val="2"/>
          </w:tcPr>
          <w:p w:rsidR="005B42D6" w:rsidRPr="00A770FA" w:rsidRDefault="00C15DC4" w:rsidP="00A770FA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事務事業を所管する府民文化部の見解</w:t>
            </w:r>
          </w:p>
        </w:tc>
      </w:tr>
      <w:tr w:rsidR="00041D70" w:rsidRPr="00A770FA" w:rsidTr="00A770FA">
        <w:trPr>
          <w:trHeight w:val="1660"/>
        </w:trPr>
        <w:tc>
          <w:tcPr>
            <w:tcW w:w="7211" w:type="dxa"/>
            <w:vMerge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9" w:type="dxa"/>
            <w:gridSpan w:val="2"/>
          </w:tcPr>
          <w:p w:rsidR="005B42D6" w:rsidRPr="00A770FA" w:rsidRDefault="005B42D6" w:rsidP="00A770FA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87A5B" w:rsidRPr="00A770FA" w:rsidRDefault="00287A5B" w:rsidP="00E36B8E">
            <w:pPr>
              <w:autoSpaceDE w:val="0"/>
              <w:autoSpaceDN w:val="0"/>
              <w:snapToGrid w:val="0"/>
              <w:spacing w:line="276" w:lineRule="auto"/>
              <w:ind w:leftChars="215" w:left="444" w:firstLineChars="74" w:firstLine="17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施設利用については、指定管理者評価委員会において、府としても指定管理者の自己評価に対して評価をしているところ。今後、指定管理者とも協議のうえ、利用率の目標の設定について検討していく。</w:t>
            </w:r>
          </w:p>
          <w:p w:rsidR="00D93C90" w:rsidRPr="00A770FA" w:rsidRDefault="00D93C90" w:rsidP="00A770F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C7CD3" w:rsidRPr="00A770FA" w:rsidTr="006C7CD3">
        <w:trPr>
          <w:trHeight w:val="418"/>
        </w:trPr>
        <w:tc>
          <w:tcPr>
            <w:tcW w:w="20520" w:type="dxa"/>
            <w:gridSpan w:val="3"/>
            <w:vAlign w:val="center"/>
          </w:tcPr>
          <w:p w:rsidR="006C7CD3" w:rsidRPr="00A770FA" w:rsidRDefault="006C7CD3" w:rsidP="006C7CD3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　置　の　内　容</w:t>
            </w:r>
          </w:p>
        </w:tc>
      </w:tr>
      <w:tr w:rsidR="006C7CD3" w:rsidRPr="00A770FA" w:rsidTr="001B0D28">
        <w:trPr>
          <w:trHeight w:val="1660"/>
        </w:trPr>
        <w:tc>
          <w:tcPr>
            <w:tcW w:w="20520" w:type="dxa"/>
            <w:gridSpan w:val="3"/>
          </w:tcPr>
          <w:p w:rsidR="006C7CD3" w:rsidRPr="00A770FA" w:rsidRDefault="006C7CD3" w:rsidP="006C7CD3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管理者においては、利用率向上のため、毎年、利用者へのアンケート結果などを分析し、利用者の満足度をあげる工夫を続けているところであるが、より具体的に効果を上げるため、大阪府においても、利用率の目標設定を行った。</w:t>
            </w: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ドーンセンターは、男女共同参画、青少年の健全育成の拠点となる施設であり、単に利用率の向上を目指すだけでは、目的施設としての機能を発揮することができない。目的施設として、目的利用と一般利用の均衡を保ちつつ、平成23年度56.3％の利用率を、平成27年度までに62％以上を目指す。特に、利用ニーズの高い会議室（小会議室・中会議室・大会議室）、パフォーマンススペース、ホールについては、利用率を平均して65％以上確保できるよう創意工夫し、利用促進していく。</w:t>
            </w:r>
          </w:p>
          <w:p w:rsidR="006C7CD3" w:rsidRPr="00A770FA" w:rsidRDefault="006C7CD3" w:rsidP="006C7CD3">
            <w:pPr>
              <w:autoSpaceDE w:val="0"/>
              <w:autoSpaceDN w:val="0"/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70FA">
              <w:rPr>
                <w:rFonts w:asciiTheme="minorEastAsia" w:eastAsiaTheme="minorEastAsia" w:hAnsiTheme="minorEastAsia" w:hint="eastAsia"/>
                <w:sz w:val="24"/>
                <w:szCs w:val="24"/>
              </w:rPr>
              <w:t>引き続き、指定管理者評価委員会の評価結果も踏まえ、府民ニーズに応え、効率的・効果的な施設運営を行うように指定管理者へ働きかける。</w:t>
            </w:r>
          </w:p>
          <w:p w:rsidR="006C7CD3" w:rsidRPr="00A770FA" w:rsidRDefault="006C7CD3" w:rsidP="006C7CD3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1884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817"/>
              <w:gridCol w:w="789"/>
              <w:gridCol w:w="691"/>
              <w:gridCol w:w="342"/>
              <w:gridCol w:w="934"/>
              <w:gridCol w:w="789"/>
              <w:gridCol w:w="363"/>
              <w:gridCol w:w="702"/>
              <w:gridCol w:w="87"/>
              <w:gridCol w:w="907"/>
              <w:gridCol w:w="1036"/>
              <w:gridCol w:w="550"/>
              <w:gridCol w:w="789"/>
              <w:gridCol w:w="670"/>
              <w:gridCol w:w="458"/>
              <w:gridCol w:w="593"/>
              <w:gridCol w:w="747"/>
              <w:gridCol w:w="672"/>
              <w:gridCol w:w="789"/>
              <w:gridCol w:w="993"/>
              <w:gridCol w:w="1762"/>
              <w:gridCol w:w="1134"/>
              <w:gridCol w:w="789"/>
              <w:gridCol w:w="980"/>
            </w:tblGrid>
            <w:tr w:rsidR="006C7CD3" w:rsidRPr="00A770FA" w:rsidTr="00654A80">
              <w:trPr>
                <w:trHeight w:val="270"/>
              </w:trPr>
              <w:tc>
                <w:tcPr>
                  <w:tcW w:w="30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【現状】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30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ドーンセンター　利用率</w:t>
                  </w:r>
                </w:p>
              </w:tc>
              <w:tc>
                <w:tcPr>
                  <w:tcW w:w="61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1日を午前・午後・夜間の３コマに分割して算出　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69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63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①②③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④⑤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①～⑤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小会議室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中会議室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大会議室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小計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和室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特別会議室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セミナー室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調理室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視聴覚</w:t>
                  </w:r>
                </w:p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スタジオ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小計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中計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ﾊﾟﾌｫｰﾏﾝｽｽﾍﾟｰｽ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ホール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中計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合計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２３年度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71.0%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61.8%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51.1%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63.6%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45.1%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50.7%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38.9%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31.2%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46.3%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41.2%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56.1%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53.9%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62.7%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58.1%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56.3%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２４年度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68.3%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64.4%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52.0%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63.4%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46.0%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56.2%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42.8%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28.9%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41.7%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42.5%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56.4%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52.7%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62.4%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57.4%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56.5%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２５年度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66.5%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63.5%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52.8%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62.4%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43.5%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54.5%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45.8%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32.8%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49.8%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45.7%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56.3%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57.7%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66.0%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61.7%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56.8%</w:t>
                  </w: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40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ドーンセンター　目的利用割合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5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会議室等</w:t>
                  </w:r>
                </w:p>
              </w:tc>
              <w:tc>
                <w:tcPr>
                  <w:tcW w:w="194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ホール</w:t>
                  </w:r>
                </w:p>
              </w:tc>
              <w:tc>
                <w:tcPr>
                  <w:tcW w:w="24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パフォーマンス</w:t>
                  </w:r>
                </w:p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スペース</w:t>
                  </w:r>
                </w:p>
              </w:tc>
              <w:tc>
                <w:tcPr>
                  <w:tcW w:w="25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</w:t>
                  </w:r>
                </w:p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利用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目的利用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一般利用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２３年度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51.5%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48.5%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39.8%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60.2%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35.8%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64.2%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50.2%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２４年度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50.8%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49.2%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35.8%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64.2%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28.4%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71.6%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49.2%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50.8%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２５年度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49.4%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50.6%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26.3%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73.7%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29.4%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70.6%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47.3%</w:t>
                  </w: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52.7%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2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35"/>
              </w:trPr>
              <w:tc>
                <w:tcPr>
                  <w:tcW w:w="2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bCs/>
                      <w:kern w:val="0"/>
                      <w:sz w:val="24"/>
                      <w:szCs w:val="24"/>
                    </w:rPr>
                    <w:t>≪大阪府目標≫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35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05470B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ind w:firstLineChars="100" w:firstLine="236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  <w:szCs w:val="24"/>
                    </w:rPr>
                    <w:t>目的施設として、目的利用と一般利用の均衡を保ちつつ</w:t>
                  </w:r>
                  <w:r w:rsidRPr="00A770FA">
                    <w:rPr>
                      <w:rFonts w:asciiTheme="minorEastAsia" w:eastAsiaTheme="minorEastAsia" w:hAnsiTheme="minorEastAsia" w:cs="ＭＳ Ｐゴシック" w:hint="eastAsia"/>
                      <w:bCs/>
                      <w:kern w:val="0"/>
                      <w:sz w:val="24"/>
                      <w:szCs w:val="24"/>
                    </w:rPr>
                    <w:t>平成23年度56.3％の利用率を平成27年度までに62％以上を目指す。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CD3" w:rsidRPr="00A770FA" w:rsidTr="00654A80">
              <w:trPr>
                <w:trHeight w:val="405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1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000CAC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ind w:firstLineChars="100" w:firstLine="236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770F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特に利用ニーズの高い会議室（小会議室・中会議室・大会議室）、パフォーマンススペース、ホールについては、利用率を平均して65％以上確保できるよう創意工夫し、利用促進していく。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CD3" w:rsidRPr="00A770FA" w:rsidRDefault="006C7CD3" w:rsidP="00BC332B">
                  <w:pPr>
                    <w:framePr w:hSpace="142" w:wrap="around" w:vAnchor="text" w:hAnchor="margin" w:x="108" w:y="2"/>
                    <w:widowControl/>
                    <w:autoSpaceDE w:val="0"/>
                    <w:autoSpaceDN w:val="0"/>
                    <w:jc w:val="left"/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C7CD3" w:rsidRPr="006C7CD3" w:rsidRDefault="006C7CD3" w:rsidP="006C7CD3">
            <w:pPr>
              <w:autoSpaceDE w:val="0"/>
              <w:autoSpaceDN w:val="0"/>
              <w:snapToGrid w:val="0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5BF1" w:rsidRPr="00725BF1" w:rsidRDefault="00725BF1" w:rsidP="006C7CD3">
      <w:pPr>
        <w:rPr>
          <w:rFonts w:asciiTheme="majorEastAsia" w:eastAsiaTheme="majorEastAsia" w:hAnsiTheme="majorEastAsia"/>
          <w:sz w:val="28"/>
          <w:szCs w:val="24"/>
        </w:rPr>
      </w:pPr>
    </w:p>
    <w:sectPr w:rsidR="00725BF1" w:rsidRPr="00725BF1" w:rsidSect="00000CAC">
      <w:headerReference w:type="default" r:id="rId14"/>
      <w:footerReference w:type="default" r:id="rId15"/>
      <w:pgSz w:w="23814" w:h="16839" w:orient="landscape" w:code="8"/>
      <w:pgMar w:top="1814" w:right="1701" w:bottom="1814" w:left="1622" w:header="851" w:footer="595" w:gutter="0"/>
      <w:cols w:space="425"/>
      <w:docGrid w:type="linesAndChars" w:linePitch="327" w:charSpace="-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82" w:rsidRDefault="001F7F82" w:rsidP="00617988">
      <w:r>
        <w:separator/>
      </w:r>
    </w:p>
  </w:endnote>
  <w:endnote w:type="continuationSeparator" w:id="0">
    <w:p w:rsidR="001F7F82" w:rsidRDefault="001F7F82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573"/>
      <w:docPartObj>
        <w:docPartGallery w:val="Page Numbers (Bottom of Page)"/>
        <w:docPartUnique/>
      </w:docPartObj>
    </w:sdtPr>
    <w:sdtEndPr/>
    <w:sdtContent>
      <w:p w:rsidR="00DB0170" w:rsidRDefault="00DB0170">
        <w:pPr>
          <w:pStyle w:val="a6"/>
          <w:jc w:val="center"/>
        </w:pPr>
      </w:p>
      <w:p w:rsidR="00DB0170" w:rsidRDefault="00BC332B">
        <w:pPr>
          <w:pStyle w:val="a6"/>
          <w:jc w:val="center"/>
        </w:pPr>
      </w:p>
    </w:sdtContent>
  </w:sdt>
  <w:p w:rsidR="00DB0170" w:rsidRDefault="00DB0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82" w:rsidRDefault="001F7F82" w:rsidP="00617988">
      <w:r>
        <w:separator/>
      </w:r>
    </w:p>
  </w:footnote>
  <w:footnote w:type="continuationSeparator" w:id="0">
    <w:p w:rsidR="001F7F82" w:rsidRDefault="001F7F82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0" w:rsidRPr="00EE21E4" w:rsidRDefault="00DB0170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D6DE2"/>
    <w:multiLevelType w:val="hybridMultilevel"/>
    <w:tmpl w:val="1EAC2BD4"/>
    <w:lvl w:ilvl="0" w:tplc="5A223198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5D2E69"/>
    <w:multiLevelType w:val="hybridMultilevel"/>
    <w:tmpl w:val="0D2EEBB2"/>
    <w:lvl w:ilvl="0" w:tplc="5352C88A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1B48AA"/>
    <w:multiLevelType w:val="hybridMultilevel"/>
    <w:tmpl w:val="CF521822"/>
    <w:lvl w:ilvl="0" w:tplc="CD7A3C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8830ED9"/>
    <w:multiLevelType w:val="hybridMultilevel"/>
    <w:tmpl w:val="098C99DC"/>
    <w:lvl w:ilvl="0" w:tplc="B5A4E2D0">
      <w:start w:val="1"/>
      <w:numFmt w:val="decimal"/>
      <w:lvlText w:val="(%1)"/>
      <w:lvlJc w:val="left"/>
      <w:pPr>
        <w:ind w:left="642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>
    <w:nsid w:val="48F647DE"/>
    <w:multiLevelType w:val="hybridMultilevel"/>
    <w:tmpl w:val="0F64EFF0"/>
    <w:lvl w:ilvl="0" w:tplc="F4D8B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E41C79"/>
    <w:multiLevelType w:val="hybridMultilevel"/>
    <w:tmpl w:val="F7ECDCFA"/>
    <w:lvl w:ilvl="0" w:tplc="E99A6FDE">
      <w:start w:val="1"/>
      <w:numFmt w:val="decimal"/>
      <w:lvlText w:val="(%1)"/>
      <w:lvlJc w:val="left"/>
      <w:pPr>
        <w:ind w:left="643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>
    <w:nsid w:val="4D27173C"/>
    <w:multiLevelType w:val="hybridMultilevel"/>
    <w:tmpl w:val="A51A6C98"/>
    <w:lvl w:ilvl="0" w:tplc="F11A37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53025A7"/>
    <w:multiLevelType w:val="hybridMultilevel"/>
    <w:tmpl w:val="F6DA9F88"/>
    <w:lvl w:ilvl="0" w:tplc="FD66CB12">
      <w:start w:val="1"/>
      <w:numFmt w:val="decimal"/>
      <w:lvlText w:val="(%1)"/>
      <w:lvlJc w:val="left"/>
      <w:pPr>
        <w:ind w:left="643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>
    <w:nsid w:val="6550052E"/>
    <w:multiLevelType w:val="hybridMultilevel"/>
    <w:tmpl w:val="A6A6A8F8"/>
    <w:lvl w:ilvl="0" w:tplc="BAD61FE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C1511F"/>
    <w:multiLevelType w:val="hybridMultilevel"/>
    <w:tmpl w:val="36969314"/>
    <w:lvl w:ilvl="0" w:tplc="F0DA7CFC">
      <w:start w:val="1"/>
      <w:numFmt w:val="decimal"/>
      <w:lvlText w:val="(%1)"/>
      <w:lvlJc w:val="left"/>
      <w:pPr>
        <w:ind w:left="558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2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366628"/>
    <w:multiLevelType w:val="hybridMultilevel"/>
    <w:tmpl w:val="EC121D34"/>
    <w:lvl w:ilvl="0" w:tplc="0CDA4E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7395735B"/>
    <w:multiLevelType w:val="hybridMultilevel"/>
    <w:tmpl w:val="3238EC20"/>
    <w:lvl w:ilvl="0" w:tplc="F67CBB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22"/>
  </w:num>
  <w:num w:numId="5">
    <w:abstractNumId w:val="27"/>
  </w:num>
  <w:num w:numId="6">
    <w:abstractNumId w:val="5"/>
  </w:num>
  <w:num w:numId="7">
    <w:abstractNumId w:val="7"/>
  </w:num>
  <w:num w:numId="8">
    <w:abstractNumId w:val="26"/>
  </w:num>
  <w:num w:numId="9">
    <w:abstractNumId w:val="10"/>
  </w:num>
  <w:num w:numId="10">
    <w:abstractNumId w:val="4"/>
  </w:num>
  <w:num w:numId="11">
    <w:abstractNumId w:val="17"/>
  </w:num>
  <w:num w:numId="12">
    <w:abstractNumId w:val="1"/>
  </w:num>
  <w:num w:numId="13">
    <w:abstractNumId w:val="16"/>
  </w:num>
  <w:num w:numId="14">
    <w:abstractNumId w:val="0"/>
  </w:num>
  <w:num w:numId="15">
    <w:abstractNumId w:val="20"/>
  </w:num>
  <w:num w:numId="16">
    <w:abstractNumId w:val="2"/>
  </w:num>
  <w:num w:numId="17">
    <w:abstractNumId w:val="8"/>
  </w:num>
  <w:num w:numId="18">
    <w:abstractNumId w:val="13"/>
  </w:num>
  <w:num w:numId="19">
    <w:abstractNumId w:val="12"/>
  </w:num>
  <w:num w:numId="20">
    <w:abstractNumId w:val="14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21"/>
  </w:num>
  <w:num w:numId="26">
    <w:abstractNumId w:val="3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autoHyphenation/>
  <w:drawingGridHorizontalSpacing w:val="103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0CAC"/>
    <w:rsid w:val="00002C96"/>
    <w:rsid w:val="00004196"/>
    <w:rsid w:val="000057E4"/>
    <w:rsid w:val="00010C3C"/>
    <w:rsid w:val="000153A0"/>
    <w:rsid w:val="00016260"/>
    <w:rsid w:val="0001710B"/>
    <w:rsid w:val="00017169"/>
    <w:rsid w:val="000177DA"/>
    <w:rsid w:val="000241F9"/>
    <w:rsid w:val="000264FA"/>
    <w:rsid w:val="000346DE"/>
    <w:rsid w:val="00034770"/>
    <w:rsid w:val="000369EA"/>
    <w:rsid w:val="00041D70"/>
    <w:rsid w:val="0004446C"/>
    <w:rsid w:val="000451F1"/>
    <w:rsid w:val="00047F96"/>
    <w:rsid w:val="000505B0"/>
    <w:rsid w:val="00051658"/>
    <w:rsid w:val="0005470B"/>
    <w:rsid w:val="00055392"/>
    <w:rsid w:val="000561F1"/>
    <w:rsid w:val="000658E0"/>
    <w:rsid w:val="00071723"/>
    <w:rsid w:val="00071731"/>
    <w:rsid w:val="00071D61"/>
    <w:rsid w:val="00074AB2"/>
    <w:rsid w:val="00086CE3"/>
    <w:rsid w:val="00091E90"/>
    <w:rsid w:val="000945DE"/>
    <w:rsid w:val="000963CF"/>
    <w:rsid w:val="000A1D46"/>
    <w:rsid w:val="000A25A3"/>
    <w:rsid w:val="000A3DC3"/>
    <w:rsid w:val="000A4466"/>
    <w:rsid w:val="000A76C5"/>
    <w:rsid w:val="000B08B9"/>
    <w:rsid w:val="000B2267"/>
    <w:rsid w:val="000B4082"/>
    <w:rsid w:val="000C4605"/>
    <w:rsid w:val="000C6173"/>
    <w:rsid w:val="000C6FA0"/>
    <w:rsid w:val="000D526D"/>
    <w:rsid w:val="000D61A8"/>
    <w:rsid w:val="000D6375"/>
    <w:rsid w:val="000D6F84"/>
    <w:rsid w:val="000D7422"/>
    <w:rsid w:val="000E316A"/>
    <w:rsid w:val="000F2F54"/>
    <w:rsid w:val="000F5908"/>
    <w:rsid w:val="000F7899"/>
    <w:rsid w:val="00101B93"/>
    <w:rsid w:val="00102145"/>
    <w:rsid w:val="00107EBB"/>
    <w:rsid w:val="001103B4"/>
    <w:rsid w:val="001130F2"/>
    <w:rsid w:val="00113CFE"/>
    <w:rsid w:val="00115637"/>
    <w:rsid w:val="00116815"/>
    <w:rsid w:val="0012621D"/>
    <w:rsid w:val="00126441"/>
    <w:rsid w:val="0013057C"/>
    <w:rsid w:val="00131E52"/>
    <w:rsid w:val="00133158"/>
    <w:rsid w:val="0013448E"/>
    <w:rsid w:val="0013492A"/>
    <w:rsid w:val="00134C7F"/>
    <w:rsid w:val="00136397"/>
    <w:rsid w:val="001413A7"/>
    <w:rsid w:val="0014308A"/>
    <w:rsid w:val="00144A8D"/>
    <w:rsid w:val="00145641"/>
    <w:rsid w:val="00150021"/>
    <w:rsid w:val="00151A34"/>
    <w:rsid w:val="001553F2"/>
    <w:rsid w:val="00155AED"/>
    <w:rsid w:val="00156A23"/>
    <w:rsid w:val="00157163"/>
    <w:rsid w:val="00162378"/>
    <w:rsid w:val="00167F52"/>
    <w:rsid w:val="00173227"/>
    <w:rsid w:val="001737C8"/>
    <w:rsid w:val="00180458"/>
    <w:rsid w:val="00181064"/>
    <w:rsid w:val="00182B55"/>
    <w:rsid w:val="00187A37"/>
    <w:rsid w:val="0019232B"/>
    <w:rsid w:val="00192D70"/>
    <w:rsid w:val="001A42F2"/>
    <w:rsid w:val="001B09D2"/>
    <w:rsid w:val="001B28C6"/>
    <w:rsid w:val="001B318F"/>
    <w:rsid w:val="001C2D51"/>
    <w:rsid w:val="001C7A5A"/>
    <w:rsid w:val="001D37B6"/>
    <w:rsid w:val="001D6C5E"/>
    <w:rsid w:val="001E0A33"/>
    <w:rsid w:val="001E2CD7"/>
    <w:rsid w:val="001F3DBC"/>
    <w:rsid w:val="001F61FE"/>
    <w:rsid w:val="001F63A7"/>
    <w:rsid w:val="001F7F82"/>
    <w:rsid w:val="00202CAE"/>
    <w:rsid w:val="00202D56"/>
    <w:rsid w:val="00203337"/>
    <w:rsid w:val="00204D17"/>
    <w:rsid w:val="002068C6"/>
    <w:rsid w:val="00210459"/>
    <w:rsid w:val="00210B8A"/>
    <w:rsid w:val="00216858"/>
    <w:rsid w:val="00220A24"/>
    <w:rsid w:val="00230103"/>
    <w:rsid w:val="00236C0B"/>
    <w:rsid w:val="00244B61"/>
    <w:rsid w:val="00246DFF"/>
    <w:rsid w:val="002472E6"/>
    <w:rsid w:val="00250DEA"/>
    <w:rsid w:val="0025328B"/>
    <w:rsid w:val="0025348B"/>
    <w:rsid w:val="00253890"/>
    <w:rsid w:val="00275AE6"/>
    <w:rsid w:val="002767D7"/>
    <w:rsid w:val="002778E7"/>
    <w:rsid w:val="00277C4D"/>
    <w:rsid w:val="00280435"/>
    <w:rsid w:val="00286509"/>
    <w:rsid w:val="00286A54"/>
    <w:rsid w:val="0028790F"/>
    <w:rsid w:val="00287A5B"/>
    <w:rsid w:val="00293695"/>
    <w:rsid w:val="002A247A"/>
    <w:rsid w:val="002B0070"/>
    <w:rsid w:val="002B2864"/>
    <w:rsid w:val="002B5202"/>
    <w:rsid w:val="002B7586"/>
    <w:rsid w:val="002C4037"/>
    <w:rsid w:val="002C48CA"/>
    <w:rsid w:val="002C4A0E"/>
    <w:rsid w:val="002D4494"/>
    <w:rsid w:val="002D59C1"/>
    <w:rsid w:val="002D61DD"/>
    <w:rsid w:val="002D6AC4"/>
    <w:rsid w:val="002E0B3B"/>
    <w:rsid w:val="002E1E5E"/>
    <w:rsid w:val="002E1F6D"/>
    <w:rsid w:val="002E4FBE"/>
    <w:rsid w:val="002E6596"/>
    <w:rsid w:val="002F088E"/>
    <w:rsid w:val="002F0AB8"/>
    <w:rsid w:val="002F3376"/>
    <w:rsid w:val="002F49B1"/>
    <w:rsid w:val="002F5EDD"/>
    <w:rsid w:val="0030005D"/>
    <w:rsid w:val="003175B8"/>
    <w:rsid w:val="003200DF"/>
    <w:rsid w:val="003261D4"/>
    <w:rsid w:val="00336828"/>
    <w:rsid w:val="00342569"/>
    <w:rsid w:val="00346D0E"/>
    <w:rsid w:val="00350BC7"/>
    <w:rsid w:val="0035277D"/>
    <w:rsid w:val="00355193"/>
    <w:rsid w:val="00355F87"/>
    <w:rsid w:val="0036071B"/>
    <w:rsid w:val="00360CEA"/>
    <w:rsid w:val="00380A51"/>
    <w:rsid w:val="0038318C"/>
    <w:rsid w:val="0038328B"/>
    <w:rsid w:val="00383F68"/>
    <w:rsid w:val="00384A7A"/>
    <w:rsid w:val="003863AA"/>
    <w:rsid w:val="00387099"/>
    <w:rsid w:val="00387BA2"/>
    <w:rsid w:val="0039241B"/>
    <w:rsid w:val="003964C5"/>
    <w:rsid w:val="003A28E6"/>
    <w:rsid w:val="003A2DDA"/>
    <w:rsid w:val="003A35F3"/>
    <w:rsid w:val="003B329A"/>
    <w:rsid w:val="003B52AE"/>
    <w:rsid w:val="003B7F2C"/>
    <w:rsid w:val="003D0430"/>
    <w:rsid w:val="003D46BC"/>
    <w:rsid w:val="003E41CA"/>
    <w:rsid w:val="003F36AC"/>
    <w:rsid w:val="00404BC4"/>
    <w:rsid w:val="0040603E"/>
    <w:rsid w:val="004162DD"/>
    <w:rsid w:val="00424187"/>
    <w:rsid w:val="004243E5"/>
    <w:rsid w:val="00432DE3"/>
    <w:rsid w:val="00434C2B"/>
    <w:rsid w:val="0044026D"/>
    <w:rsid w:val="00441242"/>
    <w:rsid w:val="0044356E"/>
    <w:rsid w:val="0045142E"/>
    <w:rsid w:val="00451C15"/>
    <w:rsid w:val="004529EB"/>
    <w:rsid w:val="00453A27"/>
    <w:rsid w:val="0046130E"/>
    <w:rsid w:val="004666A2"/>
    <w:rsid w:val="00467C44"/>
    <w:rsid w:val="004712C7"/>
    <w:rsid w:val="0047160B"/>
    <w:rsid w:val="00471FE5"/>
    <w:rsid w:val="00476D8E"/>
    <w:rsid w:val="00477911"/>
    <w:rsid w:val="00477F14"/>
    <w:rsid w:val="0048453A"/>
    <w:rsid w:val="00485EA8"/>
    <w:rsid w:val="00487B86"/>
    <w:rsid w:val="00487FB1"/>
    <w:rsid w:val="0049658C"/>
    <w:rsid w:val="004A0933"/>
    <w:rsid w:val="004A2CD0"/>
    <w:rsid w:val="004B28DA"/>
    <w:rsid w:val="004B7656"/>
    <w:rsid w:val="004B7B14"/>
    <w:rsid w:val="004C12FB"/>
    <w:rsid w:val="004C482A"/>
    <w:rsid w:val="004C53F6"/>
    <w:rsid w:val="004C5B9B"/>
    <w:rsid w:val="004C62C4"/>
    <w:rsid w:val="004C7046"/>
    <w:rsid w:val="004C7FA2"/>
    <w:rsid w:val="004D470F"/>
    <w:rsid w:val="004D4A56"/>
    <w:rsid w:val="004E61EB"/>
    <w:rsid w:val="004E7BD0"/>
    <w:rsid w:val="004F11E2"/>
    <w:rsid w:val="004F153B"/>
    <w:rsid w:val="004F4760"/>
    <w:rsid w:val="004F6AFA"/>
    <w:rsid w:val="004F70B4"/>
    <w:rsid w:val="00500342"/>
    <w:rsid w:val="00501013"/>
    <w:rsid w:val="0050104D"/>
    <w:rsid w:val="00504FDF"/>
    <w:rsid w:val="00510E6E"/>
    <w:rsid w:val="005136C4"/>
    <w:rsid w:val="00514374"/>
    <w:rsid w:val="00515737"/>
    <w:rsid w:val="005254E2"/>
    <w:rsid w:val="00531349"/>
    <w:rsid w:val="005318FC"/>
    <w:rsid w:val="00534D1A"/>
    <w:rsid w:val="00536F14"/>
    <w:rsid w:val="00546EFC"/>
    <w:rsid w:val="005513A7"/>
    <w:rsid w:val="005514D0"/>
    <w:rsid w:val="00552112"/>
    <w:rsid w:val="005536F9"/>
    <w:rsid w:val="0055415A"/>
    <w:rsid w:val="00554C12"/>
    <w:rsid w:val="005559F2"/>
    <w:rsid w:val="00557A87"/>
    <w:rsid w:val="00560DB6"/>
    <w:rsid w:val="005613B3"/>
    <w:rsid w:val="00566843"/>
    <w:rsid w:val="00566C57"/>
    <w:rsid w:val="00567984"/>
    <w:rsid w:val="0058354C"/>
    <w:rsid w:val="005835A6"/>
    <w:rsid w:val="00585FB4"/>
    <w:rsid w:val="00593C83"/>
    <w:rsid w:val="005941B7"/>
    <w:rsid w:val="00594AFB"/>
    <w:rsid w:val="00595985"/>
    <w:rsid w:val="00596103"/>
    <w:rsid w:val="005968F2"/>
    <w:rsid w:val="005A08D1"/>
    <w:rsid w:val="005A6DB2"/>
    <w:rsid w:val="005B07AD"/>
    <w:rsid w:val="005B1019"/>
    <w:rsid w:val="005B411A"/>
    <w:rsid w:val="005B42D6"/>
    <w:rsid w:val="005B53D2"/>
    <w:rsid w:val="005D0425"/>
    <w:rsid w:val="005D0DB5"/>
    <w:rsid w:val="005D1A1D"/>
    <w:rsid w:val="005D3AE8"/>
    <w:rsid w:val="005D793A"/>
    <w:rsid w:val="005E7944"/>
    <w:rsid w:val="00604377"/>
    <w:rsid w:val="00604D84"/>
    <w:rsid w:val="00605E7E"/>
    <w:rsid w:val="0061188F"/>
    <w:rsid w:val="00615C2E"/>
    <w:rsid w:val="00617988"/>
    <w:rsid w:val="00617CC5"/>
    <w:rsid w:val="00622B73"/>
    <w:rsid w:val="00624FF7"/>
    <w:rsid w:val="0063312D"/>
    <w:rsid w:val="0063679F"/>
    <w:rsid w:val="006450A8"/>
    <w:rsid w:val="00645B30"/>
    <w:rsid w:val="00647EFA"/>
    <w:rsid w:val="0065054E"/>
    <w:rsid w:val="00651A95"/>
    <w:rsid w:val="006600EA"/>
    <w:rsid w:val="006644FC"/>
    <w:rsid w:val="00670089"/>
    <w:rsid w:val="006753DF"/>
    <w:rsid w:val="006769D5"/>
    <w:rsid w:val="0067737F"/>
    <w:rsid w:val="00677C81"/>
    <w:rsid w:val="006808D7"/>
    <w:rsid w:val="00682C05"/>
    <w:rsid w:val="00695CC0"/>
    <w:rsid w:val="006A25AB"/>
    <w:rsid w:val="006A2681"/>
    <w:rsid w:val="006A40B6"/>
    <w:rsid w:val="006B674C"/>
    <w:rsid w:val="006B6D1D"/>
    <w:rsid w:val="006C480E"/>
    <w:rsid w:val="006C5BC8"/>
    <w:rsid w:val="006C66B4"/>
    <w:rsid w:val="006C7CD3"/>
    <w:rsid w:val="006D348D"/>
    <w:rsid w:val="006F0BD5"/>
    <w:rsid w:val="006F4B45"/>
    <w:rsid w:val="006F5F8A"/>
    <w:rsid w:val="00700E4F"/>
    <w:rsid w:val="007044A0"/>
    <w:rsid w:val="00706752"/>
    <w:rsid w:val="007104F1"/>
    <w:rsid w:val="00715BCF"/>
    <w:rsid w:val="00717591"/>
    <w:rsid w:val="007208A4"/>
    <w:rsid w:val="00721DD5"/>
    <w:rsid w:val="00723C0F"/>
    <w:rsid w:val="00724DBC"/>
    <w:rsid w:val="00725BF1"/>
    <w:rsid w:val="00735200"/>
    <w:rsid w:val="00740FEC"/>
    <w:rsid w:val="00744B63"/>
    <w:rsid w:val="00745354"/>
    <w:rsid w:val="007458E0"/>
    <w:rsid w:val="00752AC2"/>
    <w:rsid w:val="0075474F"/>
    <w:rsid w:val="0076329A"/>
    <w:rsid w:val="00764676"/>
    <w:rsid w:val="00765CC0"/>
    <w:rsid w:val="007666C4"/>
    <w:rsid w:val="00767EBC"/>
    <w:rsid w:val="00770703"/>
    <w:rsid w:val="007708DE"/>
    <w:rsid w:val="00770CE0"/>
    <w:rsid w:val="007715A3"/>
    <w:rsid w:val="00771D3E"/>
    <w:rsid w:val="00776445"/>
    <w:rsid w:val="007811BE"/>
    <w:rsid w:val="00786CB6"/>
    <w:rsid w:val="00787DFB"/>
    <w:rsid w:val="00793B24"/>
    <w:rsid w:val="007A33DB"/>
    <w:rsid w:val="007A42DF"/>
    <w:rsid w:val="007B0C4F"/>
    <w:rsid w:val="007B7CB7"/>
    <w:rsid w:val="007C1B1A"/>
    <w:rsid w:val="007C2031"/>
    <w:rsid w:val="007C5C9A"/>
    <w:rsid w:val="007D0312"/>
    <w:rsid w:val="007D0A7F"/>
    <w:rsid w:val="007D446E"/>
    <w:rsid w:val="007D7762"/>
    <w:rsid w:val="007E1EA1"/>
    <w:rsid w:val="007E7C48"/>
    <w:rsid w:val="007F110B"/>
    <w:rsid w:val="007F38A6"/>
    <w:rsid w:val="008008DF"/>
    <w:rsid w:val="00814768"/>
    <w:rsid w:val="00815019"/>
    <w:rsid w:val="00827C96"/>
    <w:rsid w:val="0083565B"/>
    <w:rsid w:val="00841A4D"/>
    <w:rsid w:val="0084338C"/>
    <w:rsid w:val="0084520F"/>
    <w:rsid w:val="00845B45"/>
    <w:rsid w:val="00853C1D"/>
    <w:rsid w:val="00863128"/>
    <w:rsid w:val="00867C86"/>
    <w:rsid w:val="00874FBD"/>
    <w:rsid w:val="00876BF0"/>
    <w:rsid w:val="00877069"/>
    <w:rsid w:val="00880B50"/>
    <w:rsid w:val="00881F93"/>
    <w:rsid w:val="008829A2"/>
    <w:rsid w:val="00883FC3"/>
    <w:rsid w:val="0088770C"/>
    <w:rsid w:val="00890DB9"/>
    <w:rsid w:val="008962C5"/>
    <w:rsid w:val="008A0196"/>
    <w:rsid w:val="008A0E46"/>
    <w:rsid w:val="008A0F6E"/>
    <w:rsid w:val="008A1553"/>
    <w:rsid w:val="008A5FCF"/>
    <w:rsid w:val="008A7613"/>
    <w:rsid w:val="008B347C"/>
    <w:rsid w:val="008B477D"/>
    <w:rsid w:val="008B56FF"/>
    <w:rsid w:val="008B6237"/>
    <w:rsid w:val="008B6C85"/>
    <w:rsid w:val="008D048F"/>
    <w:rsid w:val="008D1561"/>
    <w:rsid w:val="008D3FA6"/>
    <w:rsid w:val="008D4DE4"/>
    <w:rsid w:val="008D667C"/>
    <w:rsid w:val="008E1C14"/>
    <w:rsid w:val="008E4333"/>
    <w:rsid w:val="008E58FD"/>
    <w:rsid w:val="008E6B1C"/>
    <w:rsid w:val="008F27E7"/>
    <w:rsid w:val="008F289C"/>
    <w:rsid w:val="008F2AB1"/>
    <w:rsid w:val="008F2E34"/>
    <w:rsid w:val="008F455F"/>
    <w:rsid w:val="008F4E96"/>
    <w:rsid w:val="008F5207"/>
    <w:rsid w:val="009024CF"/>
    <w:rsid w:val="00906A51"/>
    <w:rsid w:val="00907922"/>
    <w:rsid w:val="0091002E"/>
    <w:rsid w:val="0091567B"/>
    <w:rsid w:val="0091620D"/>
    <w:rsid w:val="009203DB"/>
    <w:rsid w:val="009214BE"/>
    <w:rsid w:val="00921BF1"/>
    <w:rsid w:val="0092604D"/>
    <w:rsid w:val="00930F78"/>
    <w:rsid w:val="00931614"/>
    <w:rsid w:val="00933FCE"/>
    <w:rsid w:val="00935E20"/>
    <w:rsid w:val="00935E5B"/>
    <w:rsid w:val="00937C10"/>
    <w:rsid w:val="00946FDB"/>
    <w:rsid w:val="00947138"/>
    <w:rsid w:val="00956023"/>
    <w:rsid w:val="00956558"/>
    <w:rsid w:val="00957511"/>
    <w:rsid w:val="0096041A"/>
    <w:rsid w:val="00963C19"/>
    <w:rsid w:val="0096421C"/>
    <w:rsid w:val="0097003E"/>
    <w:rsid w:val="00970588"/>
    <w:rsid w:val="00974204"/>
    <w:rsid w:val="00974262"/>
    <w:rsid w:val="009836FB"/>
    <w:rsid w:val="00984782"/>
    <w:rsid w:val="00992D16"/>
    <w:rsid w:val="00997C8E"/>
    <w:rsid w:val="009C044D"/>
    <w:rsid w:val="009C2339"/>
    <w:rsid w:val="009C34D5"/>
    <w:rsid w:val="009D15B0"/>
    <w:rsid w:val="009D1E51"/>
    <w:rsid w:val="009D48A2"/>
    <w:rsid w:val="009D5E6D"/>
    <w:rsid w:val="009D7ACF"/>
    <w:rsid w:val="009E252F"/>
    <w:rsid w:val="009E5FE1"/>
    <w:rsid w:val="009E6526"/>
    <w:rsid w:val="009F2AC9"/>
    <w:rsid w:val="009F2C4A"/>
    <w:rsid w:val="009F77B8"/>
    <w:rsid w:val="00A013AB"/>
    <w:rsid w:val="00A01D90"/>
    <w:rsid w:val="00A02805"/>
    <w:rsid w:val="00A035BF"/>
    <w:rsid w:val="00A10848"/>
    <w:rsid w:val="00A11317"/>
    <w:rsid w:val="00A115A6"/>
    <w:rsid w:val="00A14264"/>
    <w:rsid w:val="00A16365"/>
    <w:rsid w:val="00A1727C"/>
    <w:rsid w:val="00A17C8B"/>
    <w:rsid w:val="00A22C6B"/>
    <w:rsid w:val="00A23808"/>
    <w:rsid w:val="00A34B6E"/>
    <w:rsid w:val="00A41785"/>
    <w:rsid w:val="00A43BC5"/>
    <w:rsid w:val="00A44C2E"/>
    <w:rsid w:val="00A470B4"/>
    <w:rsid w:val="00A547B4"/>
    <w:rsid w:val="00A609DC"/>
    <w:rsid w:val="00A61F68"/>
    <w:rsid w:val="00A626F1"/>
    <w:rsid w:val="00A62DAE"/>
    <w:rsid w:val="00A65FFE"/>
    <w:rsid w:val="00A679AF"/>
    <w:rsid w:val="00A763A0"/>
    <w:rsid w:val="00A770FA"/>
    <w:rsid w:val="00A80DF9"/>
    <w:rsid w:val="00A81898"/>
    <w:rsid w:val="00A81E62"/>
    <w:rsid w:val="00A83EB8"/>
    <w:rsid w:val="00A8517A"/>
    <w:rsid w:val="00A85FB1"/>
    <w:rsid w:val="00A9334F"/>
    <w:rsid w:val="00A9387F"/>
    <w:rsid w:val="00A94394"/>
    <w:rsid w:val="00A952E6"/>
    <w:rsid w:val="00A96A5B"/>
    <w:rsid w:val="00A96FE8"/>
    <w:rsid w:val="00AA2311"/>
    <w:rsid w:val="00AA3732"/>
    <w:rsid w:val="00AA5E88"/>
    <w:rsid w:val="00AA642E"/>
    <w:rsid w:val="00AB42F3"/>
    <w:rsid w:val="00AB4B33"/>
    <w:rsid w:val="00AC3FA5"/>
    <w:rsid w:val="00AD3929"/>
    <w:rsid w:val="00AD61CE"/>
    <w:rsid w:val="00AD6C6B"/>
    <w:rsid w:val="00AE6FD4"/>
    <w:rsid w:val="00AF21FB"/>
    <w:rsid w:val="00AF322E"/>
    <w:rsid w:val="00AF37DF"/>
    <w:rsid w:val="00AF4FB0"/>
    <w:rsid w:val="00AF5D83"/>
    <w:rsid w:val="00AF60E9"/>
    <w:rsid w:val="00AF6768"/>
    <w:rsid w:val="00AF6941"/>
    <w:rsid w:val="00B00E5E"/>
    <w:rsid w:val="00B024C8"/>
    <w:rsid w:val="00B0387F"/>
    <w:rsid w:val="00B0456A"/>
    <w:rsid w:val="00B046F9"/>
    <w:rsid w:val="00B100F9"/>
    <w:rsid w:val="00B138F9"/>
    <w:rsid w:val="00B14318"/>
    <w:rsid w:val="00B24D4C"/>
    <w:rsid w:val="00B312F5"/>
    <w:rsid w:val="00B40175"/>
    <w:rsid w:val="00B418B0"/>
    <w:rsid w:val="00B42B65"/>
    <w:rsid w:val="00B44CF7"/>
    <w:rsid w:val="00B50417"/>
    <w:rsid w:val="00B506A1"/>
    <w:rsid w:val="00B6441E"/>
    <w:rsid w:val="00B64F8E"/>
    <w:rsid w:val="00B71F86"/>
    <w:rsid w:val="00B743EB"/>
    <w:rsid w:val="00B768E2"/>
    <w:rsid w:val="00B773D4"/>
    <w:rsid w:val="00B80E70"/>
    <w:rsid w:val="00B81208"/>
    <w:rsid w:val="00B82161"/>
    <w:rsid w:val="00B8382F"/>
    <w:rsid w:val="00B85480"/>
    <w:rsid w:val="00B85A95"/>
    <w:rsid w:val="00B86290"/>
    <w:rsid w:val="00B862A5"/>
    <w:rsid w:val="00B87580"/>
    <w:rsid w:val="00B90B19"/>
    <w:rsid w:val="00B96458"/>
    <w:rsid w:val="00B968BB"/>
    <w:rsid w:val="00BA172F"/>
    <w:rsid w:val="00BA6940"/>
    <w:rsid w:val="00BA7272"/>
    <w:rsid w:val="00BB4B3E"/>
    <w:rsid w:val="00BB5ABA"/>
    <w:rsid w:val="00BC1EE8"/>
    <w:rsid w:val="00BC332B"/>
    <w:rsid w:val="00BC35E2"/>
    <w:rsid w:val="00BD0401"/>
    <w:rsid w:val="00BD3196"/>
    <w:rsid w:val="00BD4347"/>
    <w:rsid w:val="00BD6B40"/>
    <w:rsid w:val="00BE305B"/>
    <w:rsid w:val="00BE4B42"/>
    <w:rsid w:val="00BE55C0"/>
    <w:rsid w:val="00BF08DD"/>
    <w:rsid w:val="00BF19AB"/>
    <w:rsid w:val="00BF5CCB"/>
    <w:rsid w:val="00C002F4"/>
    <w:rsid w:val="00C00BD0"/>
    <w:rsid w:val="00C01006"/>
    <w:rsid w:val="00C0211B"/>
    <w:rsid w:val="00C07A99"/>
    <w:rsid w:val="00C07C34"/>
    <w:rsid w:val="00C10925"/>
    <w:rsid w:val="00C12231"/>
    <w:rsid w:val="00C159AC"/>
    <w:rsid w:val="00C15DC4"/>
    <w:rsid w:val="00C20078"/>
    <w:rsid w:val="00C20228"/>
    <w:rsid w:val="00C2157A"/>
    <w:rsid w:val="00C2375B"/>
    <w:rsid w:val="00C23CF8"/>
    <w:rsid w:val="00C26058"/>
    <w:rsid w:val="00C274CE"/>
    <w:rsid w:val="00C34214"/>
    <w:rsid w:val="00C34DFB"/>
    <w:rsid w:val="00C440CF"/>
    <w:rsid w:val="00C45AA3"/>
    <w:rsid w:val="00C469F4"/>
    <w:rsid w:val="00C511C5"/>
    <w:rsid w:val="00C517B2"/>
    <w:rsid w:val="00C53FF5"/>
    <w:rsid w:val="00C556E4"/>
    <w:rsid w:val="00C56C0A"/>
    <w:rsid w:val="00C6021D"/>
    <w:rsid w:val="00C63F46"/>
    <w:rsid w:val="00C64C9D"/>
    <w:rsid w:val="00C712F0"/>
    <w:rsid w:val="00C74D85"/>
    <w:rsid w:val="00C765E0"/>
    <w:rsid w:val="00C8052F"/>
    <w:rsid w:val="00C864EA"/>
    <w:rsid w:val="00C86527"/>
    <w:rsid w:val="00C877FB"/>
    <w:rsid w:val="00C94A31"/>
    <w:rsid w:val="00C95EA6"/>
    <w:rsid w:val="00C977B2"/>
    <w:rsid w:val="00CA09EB"/>
    <w:rsid w:val="00CB1524"/>
    <w:rsid w:val="00CB2432"/>
    <w:rsid w:val="00CB7D3F"/>
    <w:rsid w:val="00CC5824"/>
    <w:rsid w:val="00CC62CA"/>
    <w:rsid w:val="00CC6D1B"/>
    <w:rsid w:val="00CC6DFD"/>
    <w:rsid w:val="00CD671F"/>
    <w:rsid w:val="00CE0180"/>
    <w:rsid w:val="00CE0E05"/>
    <w:rsid w:val="00CE2351"/>
    <w:rsid w:val="00CE38CB"/>
    <w:rsid w:val="00CE5B2C"/>
    <w:rsid w:val="00CE6286"/>
    <w:rsid w:val="00CF024D"/>
    <w:rsid w:val="00CF128E"/>
    <w:rsid w:val="00CF12F7"/>
    <w:rsid w:val="00CF361D"/>
    <w:rsid w:val="00CF4DA7"/>
    <w:rsid w:val="00CF5155"/>
    <w:rsid w:val="00CF56F0"/>
    <w:rsid w:val="00CF6EE5"/>
    <w:rsid w:val="00D016AE"/>
    <w:rsid w:val="00D031E6"/>
    <w:rsid w:val="00D05DFE"/>
    <w:rsid w:val="00D10945"/>
    <w:rsid w:val="00D12828"/>
    <w:rsid w:val="00D17562"/>
    <w:rsid w:val="00D1757C"/>
    <w:rsid w:val="00D17D53"/>
    <w:rsid w:val="00D21251"/>
    <w:rsid w:val="00D22D7C"/>
    <w:rsid w:val="00D22F96"/>
    <w:rsid w:val="00D23223"/>
    <w:rsid w:val="00D402D3"/>
    <w:rsid w:val="00D40829"/>
    <w:rsid w:val="00D42381"/>
    <w:rsid w:val="00D42CCB"/>
    <w:rsid w:val="00D44AAD"/>
    <w:rsid w:val="00D45BEF"/>
    <w:rsid w:val="00D540A2"/>
    <w:rsid w:val="00D56620"/>
    <w:rsid w:val="00D56F8E"/>
    <w:rsid w:val="00D60AA8"/>
    <w:rsid w:val="00D66A39"/>
    <w:rsid w:val="00D675DF"/>
    <w:rsid w:val="00D716E2"/>
    <w:rsid w:val="00D734BB"/>
    <w:rsid w:val="00D748D7"/>
    <w:rsid w:val="00D77D6A"/>
    <w:rsid w:val="00D8082F"/>
    <w:rsid w:val="00D80A16"/>
    <w:rsid w:val="00D8137E"/>
    <w:rsid w:val="00D8449F"/>
    <w:rsid w:val="00D85E9E"/>
    <w:rsid w:val="00D879C0"/>
    <w:rsid w:val="00D9289F"/>
    <w:rsid w:val="00D93C90"/>
    <w:rsid w:val="00D97231"/>
    <w:rsid w:val="00DA0B49"/>
    <w:rsid w:val="00DA1780"/>
    <w:rsid w:val="00DB0170"/>
    <w:rsid w:val="00DB1555"/>
    <w:rsid w:val="00DB2D10"/>
    <w:rsid w:val="00DB3301"/>
    <w:rsid w:val="00DB3F76"/>
    <w:rsid w:val="00DB75E4"/>
    <w:rsid w:val="00DC185D"/>
    <w:rsid w:val="00DC2AD9"/>
    <w:rsid w:val="00DC2C88"/>
    <w:rsid w:val="00DC684A"/>
    <w:rsid w:val="00DC689E"/>
    <w:rsid w:val="00DD05FA"/>
    <w:rsid w:val="00DE543A"/>
    <w:rsid w:val="00DF0C1C"/>
    <w:rsid w:val="00DF2C95"/>
    <w:rsid w:val="00DF4283"/>
    <w:rsid w:val="00DF56CA"/>
    <w:rsid w:val="00E05335"/>
    <w:rsid w:val="00E12665"/>
    <w:rsid w:val="00E2017C"/>
    <w:rsid w:val="00E205AA"/>
    <w:rsid w:val="00E26349"/>
    <w:rsid w:val="00E27422"/>
    <w:rsid w:val="00E27DC1"/>
    <w:rsid w:val="00E3038D"/>
    <w:rsid w:val="00E35746"/>
    <w:rsid w:val="00E36B8E"/>
    <w:rsid w:val="00E37574"/>
    <w:rsid w:val="00E422A0"/>
    <w:rsid w:val="00E75009"/>
    <w:rsid w:val="00E76786"/>
    <w:rsid w:val="00E8021C"/>
    <w:rsid w:val="00E80F95"/>
    <w:rsid w:val="00E82FE9"/>
    <w:rsid w:val="00E86668"/>
    <w:rsid w:val="00E97C83"/>
    <w:rsid w:val="00EA11F7"/>
    <w:rsid w:val="00EA2397"/>
    <w:rsid w:val="00EA30C6"/>
    <w:rsid w:val="00EB0F05"/>
    <w:rsid w:val="00EB27DD"/>
    <w:rsid w:val="00EB2D0C"/>
    <w:rsid w:val="00EB355C"/>
    <w:rsid w:val="00EB405A"/>
    <w:rsid w:val="00EB78BF"/>
    <w:rsid w:val="00EC08FD"/>
    <w:rsid w:val="00EC1F23"/>
    <w:rsid w:val="00ED3ECC"/>
    <w:rsid w:val="00ED5C73"/>
    <w:rsid w:val="00EE076E"/>
    <w:rsid w:val="00EE21E4"/>
    <w:rsid w:val="00EE7677"/>
    <w:rsid w:val="00EF57D5"/>
    <w:rsid w:val="00F01591"/>
    <w:rsid w:val="00F036CD"/>
    <w:rsid w:val="00F03D30"/>
    <w:rsid w:val="00F04B7D"/>
    <w:rsid w:val="00F111F8"/>
    <w:rsid w:val="00F1787E"/>
    <w:rsid w:val="00F22055"/>
    <w:rsid w:val="00F23F7C"/>
    <w:rsid w:val="00F26305"/>
    <w:rsid w:val="00F34D00"/>
    <w:rsid w:val="00F361D5"/>
    <w:rsid w:val="00F36C6A"/>
    <w:rsid w:val="00F41D26"/>
    <w:rsid w:val="00F41D8B"/>
    <w:rsid w:val="00F465B5"/>
    <w:rsid w:val="00F575FE"/>
    <w:rsid w:val="00F613B0"/>
    <w:rsid w:val="00F61B3E"/>
    <w:rsid w:val="00F65B1F"/>
    <w:rsid w:val="00F7190A"/>
    <w:rsid w:val="00F80600"/>
    <w:rsid w:val="00F81A08"/>
    <w:rsid w:val="00F86045"/>
    <w:rsid w:val="00F876F9"/>
    <w:rsid w:val="00F92C17"/>
    <w:rsid w:val="00F92F91"/>
    <w:rsid w:val="00F97C4C"/>
    <w:rsid w:val="00F97E81"/>
    <w:rsid w:val="00FA0F55"/>
    <w:rsid w:val="00FA3A5B"/>
    <w:rsid w:val="00FA7DE7"/>
    <w:rsid w:val="00FB084D"/>
    <w:rsid w:val="00FB0B1F"/>
    <w:rsid w:val="00FB1B95"/>
    <w:rsid w:val="00FC17F7"/>
    <w:rsid w:val="00FD2B42"/>
    <w:rsid w:val="00FD3F37"/>
    <w:rsid w:val="00FD4EE1"/>
    <w:rsid w:val="00FD5879"/>
    <w:rsid w:val="00FE1C0C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23FC-E541-4F6E-BE30-40248BA5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A9C118-818C-4150-B500-D84D57CB3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62238-5E67-41BD-BE71-B940D9ABC53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61653F-309F-4E8A-AD96-172DF8A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HOSTNAME</cp:lastModifiedBy>
  <cp:revision>2</cp:revision>
  <cp:lastPrinted>2015-11-16T07:46:00Z</cp:lastPrinted>
  <dcterms:created xsi:type="dcterms:W3CDTF">2015-11-16T08:02:00Z</dcterms:created>
  <dcterms:modified xsi:type="dcterms:W3CDTF">2015-11-16T08:02:00Z</dcterms:modified>
</cp:coreProperties>
</file>