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53" w:rsidRPr="006D1B21" w:rsidRDefault="00494B53" w:rsidP="00EC4CF3">
      <w:pPr>
        <w:autoSpaceDE w:val="0"/>
        <w:autoSpaceDN w:val="0"/>
        <w:rPr>
          <w:rFonts w:ascii="ＭＳ 明朝" w:hAnsi="ＭＳ 明朝"/>
          <w:sz w:val="24"/>
        </w:rPr>
      </w:pPr>
      <w:r w:rsidRPr="00A00009">
        <w:rPr>
          <w:rFonts w:ascii="ＭＳ ゴシック" w:eastAsia="ＭＳ ゴシック" w:hAnsi="ＭＳ ゴシック" w:hint="eastAsia"/>
          <w:sz w:val="24"/>
        </w:rPr>
        <w:t>会計処理の誤り</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033"/>
        <w:gridCol w:w="5953"/>
        <w:gridCol w:w="5528"/>
      </w:tblGrid>
      <w:tr w:rsidR="00494B53" w:rsidRPr="00765940" w:rsidTr="00C727E0">
        <w:trPr>
          <w:trHeight w:val="300"/>
        </w:trPr>
        <w:tc>
          <w:tcPr>
            <w:tcW w:w="3006" w:type="dxa"/>
            <w:shd w:val="clear" w:color="auto" w:fill="auto"/>
            <w:hideMark/>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対象受検機関</w:t>
            </w:r>
          </w:p>
        </w:tc>
        <w:tc>
          <w:tcPr>
            <w:tcW w:w="6033" w:type="dxa"/>
            <w:shd w:val="clear" w:color="auto" w:fill="auto"/>
            <w:hideMark/>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検出事項</w:t>
            </w:r>
          </w:p>
        </w:tc>
        <w:tc>
          <w:tcPr>
            <w:tcW w:w="5953" w:type="dxa"/>
            <w:shd w:val="clear" w:color="auto" w:fill="auto"/>
            <w:hideMark/>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監査の結果</w:t>
            </w:r>
          </w:p>
        </w:tc>
        <w:tc>
          <w:tcPr>
            <w:tcW w:w="5528" w:type="dxa"/>
            <w:shd w:val="clear" w:color="auto" w:fill="auto"/>
          </w:tcPr>
          <w:p w:rsidR="00494B53" w:rsidRPr="00EC4CF3" w:rsidRDefault="00494B53" w:rsidP="00EC4CF3">
            <w:pPr>
              <w:autoSpaceDE w:val="0"/>
              <w:autoSpaceDN w:val="0"/>
              <w:jc w:val="center"/>
              <w:rPr>
                <w:rFonts w:ascii="ＭＳ Ｐゴシック" w:eastAsia="ＭＳ Ｐゴシック" w:hAnsi="ＭＳ Ｐゴシック" w:cs="Arial"/>
                <w:kern w:val="0"/>
                <w:sz w:val="24"/>
                <w:szCs w:val="24"/>
              </w:rPr>
            </w:pPr>
            <w:r w:rsidRPr="00EC4CF3">
              <w:rPr>
                <w:rFonts w:ascii="ＭＳ Ｐゴシック" w:eastAsia="ＭＳ Ｐゴシック" w:hAnsi="ＭＳ Ｐゴシック" w:cs="Arial" w:hint="eastAsia"/>
                <w:kern w:val="0"/>
                <w:sz w:val="24"/>
                <w:szCs w:val="24"/>
              </w:rPr>
              <w:t>措置の内容</w:t>
            </w:r>
          </w:p>
        </w:tc>
      </w:tr>
      <w:tr w:rsidR="00494B53" w:rsidRPr="00765940" w:rsidTr="00C727E0">
        <w:trPr>
          <w:trHeight w:val="9580"/>
        </w:trPr>
        <w:tc>
          <w:tcPr>
            <w:tcW w:w="3006" w:type="dxa"/>
            <w:shd w:val="clear" w:color="auto" w:fill="auto"/>
          </w:tcPr>
          <w:p w:rsidR="00494B53" w:rsidRPr="00EC4CF3" w:rsidRDefault="00494B53" w:rsidP="00EC4CF3">
            <w:pPr>
              <w:autoSpaceDE w:val="0"/>
              <w:autoSpaceDN w:val="0"/>
              <w:jc w:val="both"/>
              <w:rPr>
                <w:rFonts w:ascii="ＭＳ 明朝" w:hAnsi="ＭＳ 明朝" w:cs="Arial"/>
                <w:sz w:val="24"/>
                <w:szCs w:val="24"/>
              </w:rPr>
            </w:pPr>
          </w:p>
          <w:p w:rsidR="00494B53" w:rsidRPr="00EC4CF3" w:rsidRDefault="00494B53" w:rsidP="00EC4CF3">
            <w:pPr>
              <w:autoSpaceDE w:val="0"/>
              <w:autoSpaceDN w:val="0"/>
              <w:jc w:val="both"/>
              <w:rPr>
                <w:rFonts w:ascii="ＭＳ 明朝" w:hAnsi="ＭＳ 明朝" w:cs="Arial"/>
                <w:sz w:val="24"/>
                <w:szCs w:val="24"/>
              </w:rPr>
            </w:pPr>
            <w:r w:rsidRPr="00EC4CF3">
              <w:rPr>
                <w:rFonts w:ascii="ＭＳ 明朝" w:hAnsi="ＭＳ 明朝" w:cs="Arial" w:hint="eastAsia"/>
                <w:sz w:val="24"/>
                <w:szCs w:val="24"/>
              </w:rPr>
              <w:t xml:space="preserve">公益財団法人 </w:t>
            </w:r>
          </w:p>
          <w:p w:rsidR="00494B53" w:rsidRPr="00EC4CF3" w:rsidRDefault="00494B53" w:rsidP="00EC4CF3">
            <w:pPr>
              <w:autoSpaceDE w:val="0"/>
              <w:autoSpaceDN w:val="0"/>
              <w:jc w:val="both"/>
              <w:rPr>
                <w:rFonts w:ascii="ＭＳ 明朝" w:hAnsi="ＭＳ 明朝" w:cs="Arial"/>
                <w:sz w:val="24"/>
                <w:szCs w:val="24"/>
              </w:rPr>
            </w:pPr>
            <w:r w:rsidRPr="00EC4CF3">
              <w:rPr>
                <w:rFonts w:ascii="ＭＳ 明朝" w:hAnsi="ＭＳ 明朝" w:cs="Arial" w:hint="eastAsia"/>
                <w:sz w:val="24"/>
                <w:szCs w:val="24"/>
              </w:rPr>
              <w:t>大阪府都市整備推進センター</w:t>
            </w:r>
          </w:p>
        </w:tc>
        <w:tc>
          <w:tcPr>
            <w:tcW w:w="6033" w:type="dxa"/>
            <w:shd w:val="clear" w:color="auto" w:fill="auto"/>
          </w:tcPr>
          <w:p w:rsidR="00494B53" w:rsidRPr="00EC4CF3" w:rsidRDefault="00494B53" w:rsidP="00EC4CF3">
            <w:pPr>
              <w:autoSpaceDE w:val="0"/>
              <w:autoSpaceDN w:val="0"/>
              <w:ind w:leftChars="36" w:left="76" w:rightChars="100" w:right="210" w:firstLineChars="55" w:firstLine="132"/>
              <w:jc w:val="both"/>
              <w:rPr>
                <w:rFonts w:ascii="ＭＳ 明朝" w:hAnsi="ＭＳ 明朝" w:cs="Arial"/>
                <w:sz w:val="24"/>
                <w:szCs w:val="24"/>
              </w:rPr>
            </w:pPr>
          </w:p>
          <w:p w:rsidR="00494B53" w:rsidRPr="00EC4CF3" w:rsidRDefault="00494B53" w:rsidP="00EC4CF3">
            <w:pPr>
              <w:autoSpaceDE w:val="0"/>
              <w:autoSpaceDN w:val="0"/>
              <w:ind w:leftChars="-9" w:left="-19" w:rightChars="-20" w:right="-42" w:firstLineChars="100" w:firstLine="240"/>
              <w:jc w:val="both"/>
              <w:rPr>
                <w:rFonts w:ascii="ＭＳ 明朝" w:hAnsi="ＭＳ 明朝"/>
                <w:sz w:val="24"/>
                <w:szCs w:val="24"/>
              </w:rPr>
            </w:pPr>
            <w:r w:rsidRPr="00EC4CF3">
              <w:rPr>
                <w:rFonts w:ascii="ＭＳ 明朝" w:hAnsi="ＭＳ 明朝" w:cs="Arial" w:hint="eastAsia"/>
                <w:sz w:val="24"/>
                <w:szCs w:val="24"/>
              </w:rPr>
              <w:t>会計規程において</w:t>
            </w:r>
            <w:r w:rsidRPr="00EC4CF3">
              <w:rPr>
                <w:rFonts w:ascii="ＭＳ 明朝" w:hAnsi="ＭＳ 明朝" w:hint="eastAsia"/>
                <w:sz w:val="24"/>
                <w:szCs w:val="24"/>
              </w:rPr>
              <w:t>、</w:t>
            </w:r>
            <w:r w:rsidRPr="00EC4CF3">
              <w:rPr>
                <w:rFonts w:ascii="ＭＳ 明朝" w:hAnsi="ＭＳ 明朝" w:cs="Arial" w:hint="eastAsia"/>
                <w:sz w:val="24"/>
                <w:szCs w:val="24"/>
              </w:rPr>
              <w:t>会計は、法令、定款及びこの規程の定めによるほか、</w:t>
            </w:r>
            <w:r w:rsidRPr="00EC4CF3">
              <w:rPr>
                <w:rFonts w:ascii="ＭＳ 明朝" w:hAnsi="ＭＳ 明朝" w:hint="eastAsia"/>
                <w:sz w:val="24"/>
                <w:szCs w:val="24"/>
              </w:rPr>
              <w:t>公益法人会計基準等の一般に公正妥当と認められる会計の基準に準拠して処理する旨を定めている。</w:t>
            </w:r>
          </w:p>
          <w:p w:rsidR="00494B53" w:rsidRPr="00EC4CF3" w:rsidRDefault="00494B53" w:rsidP="00EC4CF3">
            <w:pPr>
              <w:autoSpaceDE w:val="0"/>
              <w:autoSpaceDN w:val="0"/>
              <w:ind w:leftChars="36" w:left="76" w:rightChars="-22" w:right="-46" w:firstLineChars="55" w:firstLine="132"/>
              <w:jc w:val="both"/>
              <w:rPr>
                <w:rFonts w:ascii="ＭＳ 明朝" w:hAnsi="ＭＳ 明朝"/>
                <w:sz w:val="24"/>
                <w:szCs w:val="24"/>
                <w:shd w:val="pct15" w:color="auto" w:fill="FFFFFF"/>
              </w:rPr>
            </w:pPr>
            <w:r w:rsidRPr="00EC4CF3">
              <w:rPr>
                <w:rFonts w:ascii="ＭＳ 明朝" w:hAnsi="ＭＳ 明朝" w:hint="eastAsia"/>
                <w:sz w:val="24"/>
                <w:szCs w:val="24"/>
              </w:rPr>
              <w:t>リース債務のうち貸借対照表日の翌日から起算して支払期限が１年内に到来するものは、公益法人会計基準等に準拠すれば流動負債に計上すべきであるにもかかわらず、平成25年度決算において、固定負債に計上されていた。</w:t>
            </w:r>
          </w:p>
          <w:p w:rsidR="00494B53" w:rsidRPr="00EC4CF3" w:rsidRDefault="00494B53" w:rsidP="00EC4CF3">
            <w:pPr>
              <w:autoSpaceDE w:val="0"/>
              <w:autoSpaceDN w:val="0"/>
              <w:ind w:rightChars="100" w:right="210"/>
              <w:jc w:val="both"/>
              <w:rPr>
                <w:rFonts w:ascii="ＭＳ 明朝" w:hAnsi="ＭＳ 明朝"/>
                <w:color w:val="FF0000"/>
                <w:sz w:val="24"/>
                <w:szCs w:val="24"/>
              </w:rPr>
            </w:pPr>
          </w:p>
          <w:tbl>
            <w:tblPr>
              <w:tblW w:w="5194" w:type="dxa"/>
              <w:tblInd w:w="386" w:type="dxa"/>
              <w:tblLayout w:type="fixed"/>
              <w:tblCellMar>
                <w:left w:w="99" w:type="dxa"/>
                <w:right w:w="99" w:type="dxa"/>
              </w:tblCellMar>
              <w:tblLook w:val="04A0" w:firstRow="1" w:lastRow="0" w:firstColumn="1" w:lastColumn="0" w:noHBand="0" w:noVBand="1"/>
            </w:tblPr>
            <w:tblGrid>
              <w:gridCol w:w="1650"/>
              <w:gridCol w:w="1701"/>
              <w:gridCol w:w="1843"/>
            </w:tblGrid>
            <w:tr w:rsidR="00494B53" w:rsidRPr="00EC4CF3" w:rsidTr="00173B6B">
              <w:trPr>
                <w:trHeight w:val="402"/>
              </w:trPr>
              <w:tc>
                <w:tcPr>
                  <w:tcW w:w="16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現状</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あるべき計上額</w:t>
                  </w:r>
                </w:p>
              </w:tc>
            </w:tr>
            <w:tr w:rsidR="00494B53" w:rsidRPr="00EC4CF3" w:rsidTr="00173B6B">
              <w:trPr>
                <w:trHeight w:val="402"/>
              </w:trPr>
              <w:tc>
                <w:tcPr>
                  <w:tcW w:w="1650" w:type="dxa"/>
                  <w:tcBorders>
                    <w:top w:val="nil"/>
                    <w:left w:val="single" w:sz="8" w:space="0" w:color="auto"/>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流動負債</w:t>
                  </w:r>
                </w:p>
              </w:tc>
              <w:tc>
                <w:tcPr>
                  <w:tcW w:w="1701"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w:t>
                  </w:r>
                </w:p>
              </w:tc>
              <w:tc>
                <w:tcPr>
                  <w:tcW w:w="1843"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8,934,576円</w:t>
                  </w:r>
                </w:p>
              </w:tc>
            </w:tr>
            <w:tr w:rsidR="00494B53" w:rsidRPr="00EC4CF3" w:rsidTr="00173B6B">
              <w:trPr>
                <w:trHeight w:val="402"/>
              </w:trPr>
              <w:tc>
                <w:tcPr>
                  <w:tcW w:w="1650" w:type="dxa"/>
                  <w:tcBorders>
                    <w:top w:val="nil"/>
                    <w:left w:val="single" w:sz="8" w:space="0" w:color="auto"/>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固定負債</w:t>
                  </w:r>
                </w:p>
              </w:tc>
              <w:tc>
                <w:tcPr>
                  <w:tcW w:w="1701"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10,757,481円</w:t>
                  </w:r>
                </w:p>
              </w:tc>
              <w:tc>
                <w:tcPr>
                  <w:tcW w:w="1843" w:type="dxa"/>
                  <w:tcBorders>
                    <w:top w:val="nil"/>
                    <w:left w:val="nil"/>
                    <w:bottom w:val="single" w:sz="8" w:space="0" w:color="auto"/>
                    <w:right w:val="single" w:sz="8" w:space="0" w:color="auto"/>
                  </w:tcBorders>
                  <w:shd w:val="clear" w:color="auto" w:fill="auto"/>
                  <w:vAlign w:val="center"/>
                  <w:hideMark/>
                </w:tcPr>
                <w:p w:rsidR="00494B53" w:rsidRPr="00EC4CF3" w:rsidRDefault="00494B53" w:rsidP="00B00F80">
                  <w:pPr>
                    <w:framePr w:hSpace="142" w:wrap="around" w:vAnchor="text" w:hAnchor="margin" w:x="108" w:y="334"/>
                    <w:autoSpaceDE w:val="0"/>
                    <w:autoSpaceDN w:val="0"/>
                    <w:jc w:val="both"/>
                    <w:rPr>
                      <w:rFonts w:ascii="ＭＳ 明朝" w:hAnsi="ＭＳ 明朝" w:cs="ＭＳ Ｐゴシック"/>
                      <w:color w:val="000000"/>
                      <w:kern w:val="0"/>
                      <w:sz w:val="24"/>
                      <w:szCs w:val="24"/>
                    </w:rPr>
                  </w:pPr>
                  <w:r w:rsidRPr="00EC4CF3">
                    <w:rPr>
                      <w:rFonts w:ascii="ＭＳ 明朝" w:hAnsi="ＭＳ 明朝" w:cs="ＭＳ Ｐゴシック" w:hint="eastAsia"/>
                      <w:color w:val="000000"/>
                      <w:kern w:val="0"/>
                      <w:sz w:val="24"/>
                      <w:szCs w:val="24"/>
                    </w:rPr>
                    <w:t>1,822,905円</w:t>
                  </w:r>
                </w:p>
              </w:tc>
            </w:tr>
          </w:tbl>
          <w:p w:rsidR="00494B53" w:rsidRPr="00EC4CF3" w:rsidRDefault="00494B53" w:rsidP="00EC4CF3">
            <w:pPr>
              <w:autoSpaceDE w:val="0"/>
              <w:autoSpaceDN w:val="0"/>
              <w:ind w:leftChars="53" w:left="351" w:rightChars="100" w:right="210" w:hangingChars="100" w:hanging="240"/>
              <w:jc w:val="both"/>
              <w:rPr>
                <w:rFonts w:ascii="ＭＳ 明朝" w:hAnsi="ＭＳ 明朝" w:cs="Arial"/>
                <w:sz w:val="24"/>
                <w:szCs w:val="24"/>
              </w:rPr>
            </w:pPr>
          </w:p>
        </w:tc>
        <w:tc>
          <w:tcPr>
            <w:tcW w:w="5953" w:type="dxa"/>
            <w:shd w:val="clear" w:color="auto" w:fill="auto"/>
          </w:tcPr>
          <w:p w:rsidR="00494B53" w:rsidRPr="00EC4CF3" w:rsidRDefault="00494B53" w:rsidP="00EC4CF3">
            <w:pPr>
              <w:autoSpaceDE w:val="0"/>
              <w:autoSpaceDN w:val="0"/>
              <w:ind w:left="245" w:hangingChars="102" w:hanging="245"/>
              <w:jc w:val="both"/>
              <w:rPr>
                <w:rFonts w:ascii="ＭＳ ゴシック" w:eastAsia="ＭＳ ゴシック" w:hAnsi="ＭＳ ゴシック"/>
                <w:sz w:val="24"/>
                <w:szCs w:val="24"/>
              </w:rPr>
            </w:pPr>
            <w:r w:rsidRPr="00EC4CF3">
              <w:rPr>
                <w:rFonts w:ascii="ＭＳ ゴシック" w:eastAsia="ＭＳ ゴシック" w:hAnsi="ＭＳ ゴシック" w:hint="eastAsia"/>
                <w:sz w:val="24"/>
                <w:szCs w:val="24"/>
              </w:rPr>
              <w:t>【是正を求めるもの】</w:t>
            </w:r>
          </w:p>
          <w:p w:rsidR="00494B53" w:rsidRPr="00EC4CF3" w:rsidRDefault="00494B53" w:rsidP="00EC4CF3">
            <w:pPr>
              <w:autoSpaceDE w:val="0"/>
              <w:autoSpaceDN w:val="0"/>
              <w:ind w:leftChars="36" w:left="76" w:firstLineChars="55" w:firstLine="132"/>
              <w:jc w:val="both"/>
              <w:rPr>
                <w:rFonts w:ascii="ＭＳ 明朝" w:hAnsi="ＭＳ 明朝" w:cs="Arial"/>
                <w:color w:val="FF0000"/>
                <w:sz w:val="24"/>
                <w:szCs w:val="24"/>
              </w:rPr>
            </w:pPr>
            <w:r w:rsidRPr="00EC4CF3">
              <w:rPr>
                <w:rFonts w:ascii="ＭＳ 明朝" w:hAnsi="ＭＳ 明朝" w:cs="Arial" w:hint="eastAsia"/>
                <w:sz w:val="24"/>
                <w:szCs w:val="24"/>
              </w:rPr>
              <w:t>公益法人会計基準等に準拠して、支払期限が１年内に到来するリース債務については流動負債に計上されたい。</w:t>
            </w:r>
          </w:p>
          <w:p w:rsidR="00494B53" w:rsidRPr="00EC4CF3" w:rsidRDefault="00494B53" w:rsidP="00EC4CF3">
            <w:pPr>
              <w:autoSpaceDE w:val="0"/>
              <w:autoSpaceDN w:val="0"/>
              <w:ind w:left="245" w:hangingChars="102" w:hanging="245"/>
              <w:jc w:val="both"/>
              <w:rPr>
                <w:rFonts w:ascii="ＭＳ 明朝" w:hAnsi="ＭＳ 明朝" w:cs="Arial"/>
                <w:sz w:val="24"/>
                <w:szCs w:val="24"/>
              </w:rPr>
            </w:pPr>
            <w:r w:rsidRPr="00EC4CF3">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0AA23445" wp14:editId="0BBC004E">
                      <wp:simplePos x="0" y="0"/>
                      <wp:positionH relativeFrom="column">
                        <wp:posOffset>51435</wp:posOffset>
                      </wp:positionH>
                      <wp:positionV relativeFrom="paragraph">
                        <wp:posOffset>196850</wp:posOffset>
                      </wp:positionV>
                      <wp:extent cx="3521710" cy="3794760"/>
                      <wp:effectExtent l="13335" t="6350" r="8255" b="88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710" cy="379476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94B53" w:rsidRPr="00EB4A80" w:rsidRDefault="00494B53" w:rsidP="00494B53">
                                  <w:pPr>
                                    <w:autoSpaceDN w:val="0"/>
                                    <w:ind w:left="214" w:hangingChars="102" w:hanging="214"/>
                                    <w:rPr>
                                      <w:rFonts w:ascii="ＭＳ 明朝" w:hAnsi="ＭＳ 明朝" w:cs="Arial"/>
                                      <w:szCs w:val="21"/>
                                    </w:rPr>
                                  </w:pPr>
                                  <w:r w:rsidRPr="00EB4A80">
                                    <w:rPr>
                                      <w:rFonts w:ascii="ＭＳ 明朝" w:hAnsi="ＭＳ 明朝" w:cs="Arial" w:hint="eastAsia"/>
                                      <w:szCs w:val="21"/>
                                    </w:rPr>
                                    <w:t>【</w:t>
                                  </w:r>
                                  <w:r w:rsidRPr="00EB4A80">
                                    <w:rPr>
                                      <w:rFonts w:hint="eastAsia"/>
                                      <w:szCs w:val="21"/>
                                    </w:rPr>
                                    <w:t>会計規程</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210" w:hangingChars="100" w:hanging="210"/>
                                    <w:rPr>
                                      <w:rFonts w:ascii="ＭＳ 明朝" w:hAnsi="ＭＳ 明朝" w:cs="Arial"/>
                                      <w:szCs w:val="21"/>
                                    </w:rPr>
                                  </w:pPr>
                                  <w:r w:rsidRPr="00EB4A80">
                                    <w:rPr>
                                      <w:rFonts w:ascii="ＭＳ 明朝" w:hAnsi="ＭＳ 明朝" w:cs="Arial" w:hint="eastAsia"/>
                                      <w:szCs w:val="21"/>
                                    </w:rPr>
                                    <w:t>第３条　センターの会計は、法令、定款及びこの規程の定めによるほか、公益法人会計基準</w:t>
                                  </w:r>
                                  <w:r w:rsidRPr="00EB4A80">
                                    <w:rPr>
                                      <w:rFonts w:ascii="ＭＳ 明朝" w:hAnsi="ＭＳ 明朝" w:hint="eastAsia"/>
                                      <w:szCs w:val="21"/>
                                    </w:rPr>
                                    <w:t>（平成20年４月11日 平成21年10月16日改正 内閣府公益認定等委員会）等の一般に公正妥当と認められる会計の基準に準拠して処理されなければならない</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Chars="149" w:left="313" w:firstLineChars="119" w:firstLine="250"/>
                                    <w:rPr>
                                      <w:rFonts w:ascii="ＭＳ 明朝" w:hAnsi="ＭＳ 明朝" w:cs="Arial"/>
                                      <w:szCs w:val="21"/>
                                    </w:rPr>
                                  </w:pP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【公益法人会計基準（平成21年改正）】</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第２　貸借対照表</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２　貸借対照表の区分</w:t>
                                  </w:r>
                                </w:p>
                                <w:p w:rsidR="00494B53" w:rsidRPr="00EB4A80" w:rsidRDefault="00494B53" w:rsidP="00494B53">
                                  <w:pPr>
                                    <w:autoSpaceDN w:val="0"/>
                                    <w:ind w:left="210" w:hangingChars="100" w:hanging="210"/>
                                    <w:rPr>
                                      <w:rFonts w:ascii="ＭＳ 明朝" w:hAnsi="ＭＳ 明朝"/>
                                      <w:szCs w:val="21"/>
                                    </w:rPr>
                                  </w:pPr>
                                  <w:r w:rsidRPr="00EB4A80">
                                    <w:rPr>
                                      <w:rFonts w:ascii="ＭＳ 明朝" w:hAnsi="ＭＳ 明朝" w:cs="Arial" w:hint="eastAsia"/>
                                      <w:szCs w:val="21"/>
                                    </w:rPr>
                                    <w:t xml:space="preserve">　　貸借対照表は、資産の部、負債の部及び正味財産の部に分かち、更に資産の部を流動資産及び固定資産に、負債の部を流動負債及び固定負債に、正味財産の部を指定正味財産及び一般正味財産に区分しなければならない。なお、正味財産の部には、指定正味財産及び一般正味財産のそれぞれについて、基本財産への充当額及び特定資産への充当額を内書きとして記載するものとする。</w:t>
                                  </w:r>
                                </w:p>
                                <w:p w:rsidR="00494B53" w:rsidRPr="00EB4A80" w:rsidRDefault="00494B53" w:rsidP="00494B53">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0" style="position:absolute;left:0;text-align:left;margin-left:4.05pt;margin-top:15.5pt;width:277.3pt;height:29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" filled="f" strokeweight=".5pt">
                      <v:stroke dashstyle="dash"/>
                      <v:textbox inset="5.85pt,.7pt,5.85pt,.7pt">
                        <w:txbxContent>
                          <w:p w:rsidR="00494B53" w:rsidRPr="00EB4A80" w:rsidRDefault="00494B53" w:rsidP="00494B53">
                            <w:pPr>
                              <w:autoSpaceDN w:val="0"/>
                              <w:ind w:left="214" w:hangingChars="102" w:hanging="214"/>
                              <w:rPr>
                                <w:rFonts w:ascii="ＭＳ 明朝" w:hAnsi="ＭＳ 明朝" w:cs="Arial"/>
                                <w:szCs w:val="21"/>
                              </w:rPr>
                            </w:pPr>
                            <w:r w:rsidRPr="00EB4A80">
                              <w:rPr>
                                <w:rFonts w:ascii="ＭＳ 明朝" w:hAnsi="ＭＳ 明朝" w:cs="Arial" w:hint="eastAsia"/>
                                <w:szCs w:val="21"/>
                              </w:rPr>
                              <w:t>【</w:t>
                            </w:r>
                            <w:r w:rsidRPr="00EB4A80">
                              <w:rPr>
                                <w:rFonts w:hint="eastAsia"/>
                                <w:szCs w:val="21"/>
                              </w:rPr>
                              <w:t>会計規程</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210" w:hangingChars="100" w:hanging="210"/>
                              <w:rPr>
                                <w:rFonts w:ascii="ＭＳ 明朝" w:hAnsi="ＭＳ 明朝" w:cs="Arial"/>
                                <w:szCs w:val="21"/>
                              </w:rPr>
                            </w:pPr>
                            <w:r w:rsidRPr="00EB4A80">
                              <w:rPr>
                                <w:rFonts w:ascii="ＭＳ 明朝" w:hAnsi="ＭＳ 明朝" w:cs="Arial" w:hint="eastAsia"/>
                                <w:szCs w:val="21"/>
                              </w:rPr>
                              <w:t>第３条　センターの会計は、法令、定款及びこの規程の定めによるほか、公益法人会計基準</w:t>
                            </w:r>
                            <w:r w:rsidRPr="00EB4A80">
                              <w:rPr>
                                <w:rFonts w:ascii="ＭＳ 明朝" w:hAnsi="ＭＳ 明朝" w:hint="eastAsia"/>
                                <w:szCs w:val="21"/>
                              </w:rPr>
                              <w:t>（平成20年４月11日 平成21年10月16日改正 内閣府公益認定等委員会）等の一般に公正妥当と認められる会計の基準に準拠して処理されなければならない</w:t>
                            </w:r>
                            <w:r w:rsidRPr="00EB4A80">
                              <w:rPr>
                                <w:rFonts w:ascii="ＭＳ 明朝" w:hAnsi="ＭＳ 明朝" w:cs="Arial" w:hint="eastAsia"/>
                                <w:szCs w:val="21"/>
                              </w:rPr>
                              <w:t>。</w:t>
                            </w:r>
                          </w:p>
                          <w:p w:rsidR="00494B53" w:rsidRPr="00EB4A80" w:rsidRDefault="00494B53" w:rsidP="00494B53">
                            <w:pPr>
                              <w:tabs>
                                <w:tab w:val="center" w:pos="4252"/>
                                <w:tab w:val="right" w:pos="8504"/>
                              </w:tabs>
                              <w:autoSpaceDN w:val="0"/>
                              <w:snapToGrid w:val="0"/>
                              <w:spacing w:line="0" w:lineRule="atLeast"/>
                              <w:ind w:leftChars="149" w:left="313" w:firstLineChars="119" w:firstLine="250"/>
                              <w:rPr>
                                <w:rFonts w:ascii="ＭＳ 明朝" w:hAnsi="ＭＳ 明朝" w:cs="Arial"/>
                                <w:szCs w:val="21"/>
                              </w:rPr>
                            </w:pP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【公益法人会計基準（平成21年改正）】</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第２　貸借対照表</w:t>
                            </w:r>
                          </w:p>
                          <w:p w:rsidR="00494B53" w:rsidRPr="00EB4A80" w:rsidRDefault="00494B53" w:rsidP="00494B53">
                            <w:pPr>
                              <w:tabs>
                                <w:tab w:val="center" w:pos="4252"/>
                                <w:tab w:val="right" w:pos="8504"/>
                              </w:tabs>
                              <w:autoSpaceDN w:val="0"/>
                              <w:snapToGrid w:val="0"/>
                              <w:spacing w:line="0" w:lineRule="atLeast"/>
                              <w:rPr>
                                <w:rFonts w:ascii="ＭＳ 明朝" w:hAnsi="ＭＳ 明朝" w:cs="Arial"/>
                                <w:szCs w:val="21"/>
                              </w:rPr>
                            </w:pPr>
                            <w:r w:rsidRPr="00EB4A80">
                              <w:rPr>
                                <w:rFonts w:ascii="ＭＳ 明朝" w:hAnsi="ＭＳ 明朝" w:cs="Arial" w:hint="eastAsia"/>
                                <w:szCs w:val="21"/>
                              </w:rPr>
                              <w:t>２　貸借対照表の区分</w:t>
                            </w:r>
                          </w:p>
                          <w:p w:rsidR="00494B53" w:rsidRPr="00EB4A80" w:rsidRDefault="00494B53" w:rsidP="00494B53">
                            <w:pPr>
                              <w:autoSpaceDN w:val="0"/>
                              <w:ind w:left="210" w:hangingChars="100" w:hanging="210"/>
                              <w:rPr>
                                <w:rFonts w:ascii="ＭＳ 明朝" w:hAnsi="ＭＳ 明朝"/>
                                <w:szCs w:val="21"/>
                              </w:rPr>
                            </w:pPr>
                            <w:r w:rsidRPr="00EB4A80">
                              <w:rPr>
                                <w:rFonts w:ascii="ＭＳ 明朝" w:hAnsi="ＭＳ 明朝" w:cs="Arial" w:hint="eastAsia"/>
                                <w:szCs w:val="21"/>
                              </w:rPr>
                              <w:t xml:space="preserve">　　貸借対照表は、資産の部、負債の部及び正味財産の部に分かち、更に資産の部を流動資産及び固定資産に、負債の部を流動負債及び固定負債に、正味財産の部を指定正味財産及び一般正味財産に区分しなければならない。なお、正味財産の部には、指定正味財産及び一般正味財産のそれぞれについて、基本財産への充当額及び特定資産への充当額を内書きとして記載するものとする。</w:t>
                            </w:r>
                          </w:p>
                          <w:p w:rsidR="00494B53" w:rsidRPr="00EB4A80" w:rsidRDefault="00494B53" w:rsidP="00494B53">
                            <w:pPr>
                              <w:rPr>
                                <w:szCs w:val="21"/>
                              </w:rPr>
                            </w:pPr>
                          </w:p>
                        </w:txbxContent>
                      </v:textbox>
                    </v:rect>
                  </w:pict>
                </mc:Fallback>
              </mc:AlternateContent>
            </w:r>
          </w:p>
          <w:p w:rsidR="00494B53" w:rsidRPr="00EC4CF3" w:rsidRDefault="00494B53" w:rsidP="00EC4CF3">
            <w:pPr>
              <w:autoSpaceDE w:val="0"/>
              <w:autoSpaceDN w:val="0"/>
              <w:ind w:leftChars="100" w:left="210"/>
              <w:jc w:val="both"/>
              <w:rPr>
                <w:rFonts w:ascii="ＭＳ 明朝" w:hAnsi="ＭＳ 明朝"/>
                <w:sz w:val="24"/>
                <w:szCs w:val="24"/>
              </w:rPr>
            </w:pPr>
          </w:p>
        </w:tc>
        <w:tc>
          <w:tcPr>
            <w:tcW w:w="5528" w:type="dxa"/>
            <w:shd w:val="clear" w:color="auto" w:fill="auto"/>
          </w:tcPr>
          <w:p w:rsidR="00494B53" w:rsidRPr="00EC4CF3" w:rsidRDefault="00494B53" w:rsidP="00EC4CF3">
            <w:pPr>
              <w:autoSpaceDE w:val="0"/>
              <w:autoSpaceDN w:val="0"/>
              <w:ind w:firstLineChars="100" w:firstLine="240"/>
              <w:jc w:val="both"/>
              <w:rPr>
                <w:rFonts w:ascii="ＭＳ 明朝" w:hAnsi="ＭＳ 明朝"/>
                <w:sz w:val="24"/>
                <w:szCs w:val="24"/>
              </w:rPr>
            </w:pPr>
          </w:p>
          <w:p w:rsidR="00494B53" w:rsidRPr="00EC4CF3" w:rsidRDefault="00494B53" w:rsidP="00EC4CF3">
            <w:pPr>
              <w:autoSpaceDE w:val="0"/>
              <w:autoSpaceDN w:val="0"/>
              <w:ind w:firstLineChars="100" w:firstLine="240"/>
              <w:jc w:val="both"/>
              <w:rPr>
                <w:rFonts w:ascii="ＭＳ 明朝" w:hAnsi="ＭＳ 明朝"/>
                <w:sz w:val="24"/>
                <w:szCs w:val="24"/>
              </w:rPr>
            </w:pPr>
            <w:r w:rsidRPr="00EC4CF3">
              <w:rPr>
                <w:rFonts w:ascii="ＭＳ 明朝" w:hAnsi="ＭＳ 明朝" w:hint="eastAsia"/>
                <w:sz w:val="24"/>
                <w:szCs w:val="24"/>
              </w:rPr>
              <w:t>平成26年度決算において、１年以内に納入期日が到来する810,180円について流動負債に計上した。</w:t>
            </w:r>
          </w:p>
          <w:p w:rsidR="00494B53" w:rsidRPr="00EC4CF3" w:rsidRDefault="00494B53" w:rsidP="00EC4CF3">
            <w:pPr>
              <w:autoSpaceDE w:val="0"/>
              <w:autoSpaceDN w:val="0"/>
              <w:jc w:val="both"/>
              <w:rPr>
                <w:rFonts w:ascii="ＭＳ 明朝" w:hAnsi="ＭＳ 明朝"/>
                <w:sz w:val="24"/>
                <w:szCs w:val="24"/>
              </w:rPr>
            </w:pPr>
            <w:r w:rsidRPr="00EC4CF3">
              <w:rPr>
                <w:rFonts w:ascii="ＭＳ 明朝" w:hAnsi="ＭＳ 明朝" w:hint="eastAsia"/>
                <w:sz w:val="24"/>
                <w:szCs w:val="24"/>
              </w:rPr>
              <w:t xml:space="preserve">　今後も一層、公益法人会計基準、会計規程等に準拠した、適正な会計処理を行うように努める。</w:t>
            </w:r>
          </w:p>
        </w:tc>
      </w:tr>
    </w:tbl>
    <w:p w:rsidR="00494B53" w:rsidRDefault="00494B53" w:rsidP="00EC4CF3">
      <w:pPr>
        <w:autoSpaceDE w:val="0"/>
        <w:autoSpaceDN w:val="0"/>
        <w:rPr>
          <w:rFonts w:ascii="ＭＳ 明朝" w:hAnsi="ＭＳ 明朝"/>
        </w:rPr>
      </w:pPr>
    </w:p>
    <w:p w:rsidR="00C727E0" w:rsidRDefault="00C727E0" w:rsidP="00EC4CF3">
      <w:pPr>
        <w:autoSpaceDE w:val="0"/>
        <w:autoSpaceDN w:val="0"/>
        <w:rPr>
          <w:rFonts w:ascii="ＭＳ 明朝" w:hAnsi="ＭＳ 明朝"/>
        </w:rPr>
      </w:pPr>
    </w:p>
    <w:p w:rsidR="00C727E0" w:rsidRDefault="00C727E0" w:rsidP="00EC4CF3">
      <w:pPr>
        <w:autoSpaceDE w:val="0"/>
        <w:autoSpaceDN w:val="0"/>
        <w:rPr>
          <w:rFonts w:ascii="ＭＳ 明朝" w:hAnsi="ＭＳ 明朝"/>
        </w:rPr>
      </w:pPr>
    </w:p>
    <w:p w:rsidR="00C727E0" w:rsidRDefault="00C727E0" w:rsidP="00EC4CF3">
      <w:pPr>
        <w:autoSpaceDE w:val="0"/>
        <w:autoSpaceDN w:val="0"/>
        <w:rPr>
          <w:rFonts w:ascii="ＭＳ 明朝" w:hAnsi="ＭＳ 明朝"/>
        </w:rPr>
      </w:pPr>
      <w:bookmarkStart w:id="0" w:name="_GoBack"/>
      <w:bookmarkEnd w:id="0"/>
    </w:p>
    <w:sectPr w:rsidR="00C727E0" w:rsidSect="00E50E24">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2" w:rsidRDefault="00E406E2" w:rsidP="00870FAD">
      <w:r>
        <w:separator/>
      </w:r>
    </w:p>
  </w:endnote>
  <w:endnote w:type="continuationSeparator" w:id="0">
    <w:p w:rsidR="00E406E2" w:rsidRDefault="00E406E2" w:rsidP="008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2" w:rsidRDefault="00E406E2" w:rsidP="00870FAD">
      <w:r>
        <w:separator/>
      </w:r>
    </w:p>
  </w:footnote>
  <w:footnote w:type="continuationSeparator" w:id="0">
    <w:p w:rsidR="00E406E2" w:rsidRDefault="00E406E2" w:rsidP="0087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9"/>
    <w:rsid w:val="000708B4"/>
    <w:rsid w:val="000D2A3C"/>
    <w:rsid w:val="00126259"/>
    <w:rsid w:val="00174B18"/>
    <w:rsid w:val="002D775D"/>
    <w:rsid w:val="00394015"/>
    <w:rsid w:val="003C281D"/>
    <w:rsid w:val="00494B53"/>
    <w:rsid w:val="004A6A88"/>
    <w:rsid w:val="004C5794"/>
    <w:rsid w:val="004C6838"/>
    <w:rsid w:val="004E338D"/>
    <w:rsid w:val="004F1B49"/>
    <w:rsid w:val="00540EFD"/>
    <w:rsid w:val="006268B2"/>
    <w:rsid w:val="00674DAC"/>
    <w:rsid w:val="006C4789"/>
    <w:rsid w:val="006D0AF3"/>
    <w:rsid w:val="007127AB"/>
    <w:rsid w:val="00763BE1"/>
    <w:rsid w:val="0078131A"/>
    <w:rsid w:val="008278DF"/>
    <w:rsid w:val="008414DC"/>
    <w:rsid w:val="00870FAD"/>
    <w:rsid w:val="00906B00"/>
    <w:rsid w:val="009335D0"/>
    <w:rsid w:val="00982851"/>
    <w:rsid w:val="00A40D80"/>
    <w:rsid w:val="00A60791"/>
    <w:rsid w:val="00AB5153"/>
    <w:rsid w:val="00AE3A78"/>
    <w:rsid w:val="00B00F80"/>
    <w:rsid w:val="00B12C51"/>
    <w:rsid w:val="00BA21EE"/>
    <w:rsid w:val="00C2028C"/>
    <w:rsid w:val="00C727E0"/>
    <w:rsid w:val="00D03920"/>
    <w:rsid w:val="00D10D3F"/>
    <w:rsid w:val="00D27572"/>
    <w:rsid w:val="00DC1D05"/>
    <w:rsid w:val="00E406E2"/>
    <w:rsid w:val="00E457AC"/>
    <w:rsid w:val="00E50E24"/>
    <w:rsid w:val="00EB5577"/>
    <w:rsid w:val="00EC4CF3"/>
    <w:rsid w:val="00F45C61"/>
    <w:rsid w:val="00F80828"/>
    <w:rsid w:val="00FD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0A8F-AE00-4D58-B215-015F030F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東谷　裕樹</dc:creator>
  <cp:lastModifiedBy>HOSTNAME</cp:lastModifiedBy>
  <cp:revision>2</cp:revision>
  <cp:lastPrinted>2016-02-10T01:16:00Z</cp:lastPrinted>
  <dcterms:created xsi:type="dcterms:W3CDTF">2016-03-15T08:59:00Z</dcterms:created>
  <dcterms:modified xsi:type="dcterms:W3CDTF">2016-03-15T08:59:00Z</dcterms:modified>
</cp:coreProperties>
</file>