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53" w:rsidRPr="004E5CF3" w:rsidRDefault="00494B53" w:rsidP="00EC4CF3">
      <w:pPr>
        <w:autoSpaceDE w:val="0"/>
        <w:autoSpaceDN w:val="0"/>
        <w:ind w:right="1120"/>
        <w:rPr>
          <w:rFonts w:ascii="ＭＳ ゴシック" w:eastAsia="ＭＳ ゴシック" w:hAnsi="ＭＳ ゴシック" w:cs="Arial"/>
          <w:sz w:val="24"/>
          <w:szCs w:val="24"/>
        </w:rPr>
      </w:pPr>
      <w:bookmarkStart w:id="0" w:name="_GoBack"/>
      <w:bookmarkEnd w:id="0"/>
      <w:r w:rsidRPr="004E5CF3">
        <w:rPr>
          <w:rFonts w:ascii="ＭＳ ゴシック" w:eastAsia="ＭＳ ゴシック" w:hAnsi="ＭＳ ゴシック" w:hint="eastAsia"/>
          <w:sz w:val="24"/>
        </w:rPr>
        <w:t>会計処理の誤り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946"/>
        <w:gridCol w:w="6946"/>
        <w:gridCol w:w="4635"/>
      </w:tblGrid>
      <w:tr w:rsidR="00494B53" w:rsidRPr="004E5CF3" w:rsidTr="00173B6B">
        <w:trPr>
          <w:trHeight w:val="411"/>
        </w:trPr>
        <w:tc>
          <w:tcPr>
            <w:tcW w:w="1951"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対象受検機関</w:t>
            </w:r>
          </w:p>
        </w:tc>
        <w:tc>
          <w:tcPr>
            <w:tcW w:w="6946"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検出事項</w:t>
            </w:r>
          </w:p>
        </w:tc>
        <w:tc>
          <w:tcPr>
            <w:tcW w:w="6946"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監査の結果</w:t>
            </w:r>
          </w:p>
        </w:tc>
        <w:tc>
          <w:tcPr>
            <w:tcW w:w="4635"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措置の内容</w:t>
            </w:r>
          </w:p>
        </w:tc>
      </w:tr>
      <w:tr w:rsidR="00494B53" w:rsidRPr="004E5CF3" w:rsidTr="00173B6B">
        <w:trPr>
          <w:trHeight w:val="9485"/>
        </w:trPr>
        <w:tc>
          <w:tcPr>
            <w:tcW w:w="1951" w:type="dxa"/>
            <w:shd w:val="clear" w:color="auto" w:fill="auto"/>
          </w:tcPr>
          <w:p w:rsidR="00494B53" w:rsidRPr="004E5CF3" w:rsidRDefault="00494B53" w:rsidP="00EC4CF3">
            <w:pPr>
              <w:autoSpaceDE w:val="0"/>
              <w:autoSpaceDN w:val="0"/>
              <w:snapToGrid w:val="0"/>
              <w:jc w:val="both"/>
              <w:rPr>
                <w:rFonts w:ascii="ＭＳ 明朝" w:hAnsi="ＭＳ 明朝"/>
                <w:sz w:val="24"/>
                <w:szCs w:val="24"/>
              </w:rPr>
            </w:pPr>
          </w:p>
          <w:p w:rsidR="00494B53" w:rsidRPr="004E5CF3" w:rsidRDefault="00494B53" w:rsidP="00EC4CF3">
            <w:pPr>
              <w:autoSpaceDE w:val="0"/>
              <w:autoSpaceDN w:val="0"/>
              <w:jc w:val="both"/>
              <w:rPr>
                <w:rFonts w:ascii="ＭＳ 明朝" w:hAnsi="ＭＳ 明朝"/>
                <w:sz w:val="24"/>
                <w:szCs w:val="24"/>
              </w:rPr>
            </w:pPr>
            <w:r w:rsidRPr="004E5CF3">
              <w:rPr>
                <w:rFonts w:ascii="ＭＳ 明朝" w:hAnsi="ＭＳ 明朝" w:cs="Arial" w:hint="eastAsia"/>
                <w:sz w:val="24"/>
                <w:szCs w:val="24"/>
              </w:rPr>
              <w:t>堺泉北埠頭株式会社</w:t>
            </w:r>
          </w:p>
          <w:p w:rsidR="00494B53" w:rsidRPr="004E5CF3" w:rsidRDefault="00494B53" w:rsidP="00EC4CF3">
            <w:pPr>
              <w:autoSpaceDE w:val="0"/>
              <w:autoSpaceDN w:val="0"/>
              <w:snapToGrid w:val="0"/>
              <w:jc w:val="both"/>
              <w:rPr>
                <w:rFonts w:ascii="ＭＳ 明朝" w:hAnsi="ＭＳ 明朝"/>
                <w:sz w:val="24"/>
                <w:szCs w:val="24"/>
              </w:rPr>
            </w:pPr>
          </w:p>
          <w:p w:rsidR="00494B53" w:rsidRPr="004E5CF3" w:rsidRDefault="00494B53" w:rsidP="00EC4CF3">
            <w:pPr>
              <w:autoSpaceDE w:val="0"/>
              <w:autoSpaceDN w:val="0"/>
              <w:snapToGrid w:val="0"/>
              <w:jc w:val="both"/>
              <w:rPr>
                <w:rFonts w:ascii="ＭＳ 明朝" w:hAnsi="ＭＳ 明朝"/>
                <w:sz w:val="24"/>
                <w:szCs w:val="24"/>
              </w:rPr>
            </w:pPr>
          </w:p>
        </w:tc>
        <w:tc>
          <w:tcPr>
            <w:tcW w:w="6946" w:type="dxa"/>
            <w:shd w:val="clear" w:color="auto" w:fill="auto"/>
          </w:tcPr>
          <w:p w:rsidR="00494B53" w:rsidRPr="004E5CF3" w:rsidRDefault="00494B53" w:rsidP="00EC4CF3">
            <w:pPr>
              <w:autoSpaceDE w:val="0"/>
              <w:autoSpaceDN w:val="0"/>
              <w:ind w:firstLineChars="100" w:firstLine="240"/>
              <w:jc w:val="both"/>
              <w:rPr>
                <w:rFonts w:ascii="ＭＳ 明朝" w:hAnsi="ＭＳ 明朝"/>
                <w:sz w:val="24"/>
                <w:szCs w:val="24"/>
              </w:rPr>
            </w:pPr>
          </w:p>
          <w:p w:rsidR="00494B53" w:rsidRPr="004E5CF3" w:rsidRDefault="00494B53" w:rsidP="00EC4CF3">
            <w:pPr>
              <w:autoSpaceDE w:val="0"/>
              <w:autoSpaceDN w:val="0"/>
              <w:ind w:firstLineChars="100" w:firstLine="240"/>
              <w:jc w:val="both"/>
              <w:rPr>
                <w:rFonts w:ascii="ＭＳ 明朝" w:hAnsi="ＭＳ 明朝"/>
                <w:sz w:val="24"/>
                <w:szCs w:val="24"/>
              </w:rPr>
            </w:pPr>
            <w:r w:rsidRPr="004E5CF3">
              <w:rPr>
                <w:rFonts w:ascii="ＭＳ 明朝" w:hAnsi="ＭＳ 明朝" w:hint="eastAsia"/>
                <w:sz w:val="24"/>
                <w:szCs w:val="24"/>
              </w:rPr>
              <w:t>賞与引当金に係る社会保険料は、賞与引当金の計上に伴い発生し、同時に未払費用として計上されるべきものであるが、平成25年度決算に計上されている賞与引当金4,600,000円に係る社会保険料の会社負担額529,000円が、未払費用として計上されていなかった。</w:t>
            </w:r>
          </w:p>
          <w:p w:rsidR="00494B53" w:rsidRPr="004E5CF3" w:rsidRDefault="00494B53" w:rsidP="00EC4CF3">
            <w:pPr>
              <w:autoSpaceDE w:val="0"/>
              <w:autoSpaceDN w:val="0"/>
              <w:jc w:val="both"/>
              <w:rPr>
                <w:rFonts w:ascii="ＭＳ 明朝" w:hAnsi="ＭＳ 明朝"/>
                <w:sz w:val="24"/>
                <w:szCs w:val="24"/>
              </w:rPr>
            </w:pPr>
          </w:p>
        </w:tc>
        <w:tc>
          <w:tcPr>
            <w:tcW w:w="6946" w:type="dxa"/>
            <w:shd w:val="clear" w:color="auto" w:fill="auto"/>
          </w:tcPr>
          <w:p w:rsidR="00494B53" w:rsidRPr="004E5CF3" w:rsidRDefault="00494B53" w:rsidP="00EC4CF3">
            <w:pPr>
              <w:autoSpaceDE w:val="0"/>
              <w:autoSpaceDN w:val="0"/>
              <w:jc w:val="both"/>
              <w:rPr>
                <w:rFonts w:ascii="ＭＳ ゴシック" w:eastAsia="ＭＳ ゴシック" w:hAnsi="ＭＳ ゴシック" w:cs="Arial"/>
                <w:sz w:val="24"/>
                <w:szCs w:val="24"/>
              </w:rPr>
            </w:pPr>
            <w:r w:rsidRPr="004E5CF3">
              <w:rPr>
                <w:rFonts w:ascii="ＭＳ ゴシック" w:eastAsia="ＭＳ ゴシック" w:hAnsi="ＭＳ ゴシック" w:cs="Arial" w:hint="eastAsia"/>
                <w:sz w:val="24"/>
                <w:szCs w:val="24"/>
              </w:rPr>
              <w:t>【是正を求めるもの】</w:t>
            </w:r>
          </w:p>
          <w:p w:rsidR="00494B53" w:rsidRPr="004E5CF3" w:rsidRDefault="00494B53" w:rsidP="00EC4CF3">
            <w:pPr>
              <w:autoSpaceDE w:val="0"/>
              <w:autoSpaceDN w:val="0"/>
              <w:ind w:firstLineChars="100" w:firstLine="240"/>
              <w:jc w:val="both"/>
              <w:rPr>
                <w:rFonts w:ascii="ＭＳ 明朝" w:hAnsi="ＭＳ 明朝" w:cs="Arial"/>
                <w:sz w:val="24"/>
                <w:szCs w:val="24"/>
              </w:rPr>
            </w:pPr>
            <w:r w:rsidRPr="004E5CF3">
              <w:rPr>
                <w:rFonts w:ascii="ＭＳ 明朝" w:hAnsi="ＭＳ 明朝" w:cs="Arial" w:hint="eastAsia"/>
                <w:sz w:val="24"/>
                <w:szCs w:val="24"/>
              </w:rPr>
              <w:t>平成25年度決算においては未払費用が過小計上されているため、適切に計上されたい。</w:t>
            </w:r>
          </w:p>
          <w:p w:rsidR="00494B53" w:rsidRPr="004E5CF3" w:rsidRDefault="00494B53" w:rsidP="00EC4CF3">
            <w:pPr>
              <w:autoSpaceDE w:val="0"/>
              <w:autoSpaceDN w:val="0"/>
              <w:jc w:val="both"/>
              <w:rPr>
                <w:rFonts w:ascii="ＭＳ 明朝" w:hAnsi="ＭＳ 明朝" w:cs="Arial"/>
                <w:sz w:val="24"/>
                <w:szCs w:val="24"/>
              </w:rPr>
            </w:pPr>
          </w:p>
          <w:p w:rsidR="00494B53" w:rsidRPr="004E5CF3" w:rsidRDefault="00494B53" w:rsidP="00EC4CF3">
            <w:pPr>
              <w:autoSpaceDE w:val="0"/>
              <w:autoSpaceDN w:val="0"/>
              <w:jc w:val="both"/>
              <w:rPr>
                <w:rFonts w:ascii="ＭＳ 明朝" w:hAnsi="ＭＳ 明朝" w:cs="Arial"/>
                <w:sz w:val="24"/>
                <w:szCs w:val="24"/>
              </w:rPr>
            </w:pPr>
            <w:r>
              <w:rPr>
                <w:rFonts w:ascii="ＭＳ 明朝" w:hAnsi="ＭＳ 明朝" w:cs="Arial" w:hint="eastAsia"/>
                <w:noProof/>
                <w:sz w:val="24"/>
                <w:szCs w:val="24"/>
              </w:rPr>
              <mc:AlternateContent>
                <mc:Choice Requires="wps">
                  <w:drawing>
                    <wp:anchor distT="0" distB="0" distL="114300" distR="114300" simplePos="0" relativeHeight="251665408" behindDoc="0" locked="0" layoutInCell="1" allowOverlap="1" wp14:anchorId="245BA213" wp14:editId="6A658133">
                      <wp:simplePos x="0" y="0"/>
                      <wp:positionH relativeFrom="column">
                        <wp:posOffset>-24765</wp:posOffset>
                      </wp:positionH>
                      <wp:positionV relativeFrom="paragraph">
                        <wp:posOffset>133350</wp:posOffset>
                      </wp:positionV>
                      <wp:extent cx="4260850" cy="3274060"/>
                      <wp:effectExtent l="13335" t="9525" r="12065"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32740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95pt;margin-top:10.5pt;width:335.5pt;height:2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" filled="f" strokeweight=".5pt">
                      <v:stroke dashstyle="dash"/>
                      <v:textbox inset="5.85pt,.7pt,5.85pt,.7pt"/>
                    </v:rect>
                  </w:pict>
                </mc:Fallback>
              </mc:AlternateConten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【経理規程】</w: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（目的）</w: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第１条</w: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 xml:space="preserve">　この規定は、すべての取引を企業会計原則に基づいて正確かつ迅速に処理し、会社の財政状態及び経営成績を明らかにするとともに、経営効率の向上に資することを目的とする。</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【企業会計原則】</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第二　損益計算書原則</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（損益計算書の本質）</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一　（略）</w:t>
            </w:r>
          </w:p>
          <w:p w:rsidR="00494B53" w:rsidRPr="004E5CF3" w:rsidRDefault="00494B53" w:rsidP="00EC4CF3">
            <w:pPr>
              <w:tabs>
                <w:tab w:val="center" w:pos="4252"/>
                <w:tab w:val="right" w:pos="8504"/>
              </w:tabs>
              <w:autoSpaceDE w:val="0"/>
              <w:autoSpaceDN w:val="0"/>
              <w:snapToGrid w:val="0"/>
              <w:spacing w:line="0" w:lineRule="atLeast"/>
              <w:ind w:leftChars="150" w:left="555" w:rightChars="50" w:right="105" w:hangingChars="100" w:hanging="240"/>
              <w:jc w:val="both"/>
              <w:rPr>
                <w:rFonts w:ascii="ＭＳ 明朝" w:hAnsi="ＭＳ 明朝" w:cs="Arial"/>
                <w:sz w:val="24"/>
                <w:szCs w:val="24"/>
              </w:rPr>
            </w:pPr>
            <w:r w:rsidRPr="004E5CF3">
              <w:rPr>
                <w:rFonts w:ascii="ＭＳ 明朝" w:hAnsi="ＭＳ 明朝" w:cs="Arial" w:hint="eastAsia"/>
                <w:sz w:val="24"/>
                <w:szCs w:val="24"/>
              </w:rPr>
              <w:t>Ａ　すべての費用及び収益は、その支出及び収入に基づいて計上し、その発生した期間に正しく割当てられるように処理しなければならない。</w:t>
            </w:r>
          </w:p>
          <w:p w:rsidR="00494B53" w:rsidRPr="004E5CF3" w:rsidRDefault="00494B53" w:rsidP="00EC4CF3">
            <w:pPr>
              <w:tabs>
                <w:tab w:val="center" w:pos="4252"/>
                <w:tab w:val="right" w:pos="8504"/>
              </w:tabs>
              <w:autoSpaceDE w:val="0"/>
              <w:autoSpaceDN w:val="0"/>
              <w:snapToGrid w:val="0"/>
              <w:spacing w:line="0" w:lineRule="atLeast"/>
              <w:ind w:leftChars="250" w:left="525" w:rightChars="50" w:right="105"/>
              <w:jc w:val="both"/>
              <w:rPr>
                <w:rFonts w:ascii="ＭＳ 明朝" w:hAnsi="ＭＳ 明朝" w:cs="Arial"/>
                <w:sz w:val="24"/>
                <w:szCs w:val="24"/>
              </w:rPr>
            </w:pPr>
            <w:r w:rsidRPr="004E5CF3">
              <w:rPr>
                <w:rFonts w:ascii="ＭＳ 明朝" w:hAnsi="ＭＳ 明朝" w:cs="Arial" w:hint="eastAsia"/>
                <w:sz w:val="24"/>
                <w:szCs w:val="24"/>
              </w:rPr>
              <w:t>（略）</w:t>
            </w:r>
          </w:p>
          <w:p w:rsidR="00494B53" w:rsidRPr="004E5CF3" w:rsidRDefault="00494B53" w:rsidP="00EC4CF3">
            <w:pPr>
              <w:autoSpaceDE w:val="0"/>
              <w:autoSpaceDN w:val="0"/>
              <w:snapToGrid w:val="0"/>
              <w:ind w:left="240" w:hangingChars="100" w:hanging="240"/>
              <w:jc w:val="both"/>
              <w:rPr>
                <w:rFonts w:ascii="ＭＳ 明朝" w:hAnsi="ＭＳ 明朝" w:cs="Arial"/>
                <w:sz w:val="24"/>
                <w:szCs w:val="24"/>
              </w:rPr>
            </w:pPr>
          </w:p>
          <w:p w:rsidR="00494B53" w:rsidRPr="004E5CF3" w:rsidRDefault="00494B53" w:rsidP="00EC4CF3">
            <w:pPr>
              <w:autoSpaceDE w:val="0"/>
              <w:autoSpaceDN w:val="0"/>
              <w:jc w:val="both"/>
              <w:rPr>
                <w:rFonts w:ascii="ＭＳ 明朝" w:hAnsi="ＭＳ 明朝"/>
                <w:sz w:val="24"/>
                <w:szCs w:val="24"/>
              </w:rPr>
            </w:pPr>
          </w:p>
        </w:tc>
        <w:tc>
          <w:tcPr>
            <w:tcW w:w="4635" w:type="dxa"/>
            <w:shd w:val="clear" w:color="auto" w:fill="auto"/>
          </w:tcPr>
          <w:p w:rsidR="00494B53" w:rsidRDefault="00494B53" w:rsidP="00EC4CF3">
            <w:pPr>
              <w:autoSpaceDE w:val="0"/>
              <w:autoSpaceDN w:val="0"/>
              <w:ind w:firstLineChars="100" w:firstLine="240"/>
              <w:jc w:val="both"/>
              <w:rPr>
                <w:rFonts w:ascii="ＭＳ 明朝" w:hAnsi="ＭＳ 明朝"/>
                <w:sz w:val="24"/>
                <w:szCs w:val="24"/>
              </w:rPr>
            </w:pPr>
          </w:p>
          <w:p w:rsidR="00494B53" w:rsidRPr="004E5CF3" w:rsidRDefault="00494B53" w:rsidP="00EC4CF3">
            <w:pPr>
              <w:autoSpaceDE w:val="0"/>
              <w:autoSpaceDN w:val="0"/>
              <w:ind w:firstLineChars="100" w:firstLine="240"/>
              <w:jc w:val="both"/>
              <w:rPr>
                <w:rFonts w:ascii="ＭＳ 明朝" w:hAnsi="ＭＳ 明朝"/>
                <w:sz w:val="24"/>
                <w:szCs w:val="24"/>
              </w:rPr>
            </w:pPr>
            <w:r w:rsidRPr="004E5CF3">
              <w:rPr>
                <w:rFonts w:ascii="ＭＳ 明朝" w:hAnsi="ＭＳ 明朝" w:hint="eastAsia"/>
                <w:sz w:val="24"/>
                <w:szCs w:val="24"/>
              </w:rPr>
              <w:t>平成26年度決算については、賞与引当金に係る社会保険料を算出し、賞与引当金に含めて計上した。</w:t>
            </w:r>
          </w:p>
          <w:p w:rsidR="00494B53" w:rsidRPr="004E5CF3" w:rsidRDefault="00494B53" w:rsidP="00EC4CF3">
            <w:pPr>
              <w:autoSpaceDE w:val="0"/>
              <w:autoSpaceDN w:val="0"/>
              <w:jc w:val="both"/>
              <w:rPr>
                <w:rFonts w:ascii="ＭＳ 明朝" w:hAnsi="ＭＳ 明朝"/>
                <w:sz w:val="24"/>
                <w:szCs w:val="24"/>
              </w:rPr>
            </w:pPr>
            <w:r w:rsidRPr="004E5CF3">
              <w:rPr>
                <w:rFonts w:ascii="ＭＳ 明朝" w:hAnsi="ＭＳ 明朝" w:hint="eastAsia"/>
                <w:sz w:val="24"/>
                <w:szCs w:val="24"/>
              </w:rPr>
              <w:t xml:space="preserve">　今後も、企業会計原則並びに経理規程に基づき、会計処理を適切に行う。</w:t>
            </w:r>
          </w:p>
        </w:tc>
      </w:tr>
    </w:tbl>
    <w:p w:rsidR="00494B53" w:rsidRPr="00087497" w:rsidRDefault="00494B53" w:rsidP="00EC4CF3">
      <w:pPr>
        <w:autoSpaceDE w:val="0"/>
        <w:autoSpaceDN w:val="0"/>
        <w:ind w:right="1120"/>
        <w:rPr>
          <w:rFonts w:ascii="ＭＳ ゴシック" w:eastAsia="ＭＳ ゴシック" w:hAnsi="ＭＳ ゴシック" w:cs="Arial"/>
          <w:sz w:val="24"/>
          <w:szCs w:val="24"/>
        </w:rPr>
      </w:pPr>
    </w:p>
    <w:p w:rsidR="00494B53" w:rsidRPr="00B0553A" w:rsidRDefault="00494B53" w:rsidP="00EC4CF3">
      <w:pPr>
        <w:autoSpaceDE w:val="0"/>
        <w:autoSpaceDN w:val="0"/>
        <w:rPr>
          <w:rFonts w:ascii="ＭＳ ゴシック" w:eastAsia="ＭＳ ゴシック" w:hAnsi="ＭＳ ゴシック"/>
          <w:sz w:val="24"/>
          <w:szCs w:val="24"/>
        </w:rPr>
      </w:pPr>
    </w:p>
    <w:p w:rsidR="00494B53" w:rsidRPr="00494B53" w:rsidRDefault="00494B53" w:rsidP="00EC4CF3">
      <w:pPr>
        <w:autoSpaceDE w:val="0"/>
        <w:autoSpaceDN w:val="0"/>
      </w:pPr>
    </w:p>
    <w:sectPr w:rsidR="00494B53" w:rsidRPr="00494B53" w:rsidSect="00E50E24">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2" w:rsidRDefault="00E406E2" w:rsidP="00870FAD">
      <w:r>
        <w:separator/>
      </w:r>
    </w:p>
  </w:endnote>
  <w:endnote w:type="continuationSeparator" w:id="0">
    <w:p w:rsidR="00E406E2" w:rsidRDefault="00E406E2" w:rsidP="008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2" w:rsidRDefault="00E406E2" w:rsidP="00870FAD">
      <w:r>
        <w:separator/>
      </w:r>
    </w:p>
  </w:footnote>
  <w:footnote w:type="continuationSeparator" w:id="0">
    <w:p w:rsidR="00E406E2" w:rsidRDefault="00E406E2" w:rsidP="0087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9"/>
    <w:rsid w:val="000708B4"/>
    <w:rsid w:val="000D2A3C"/>
    <w:rsid w:val="00126259"/>
    <w:rsid w:val="00174B18"/>
    <w:rsid w:val="002D775D"/>
    <w:rsid w:val="00394015"/>
    <w:rsid w:val="003C281D"/>
    <w:rsid w:val="00494B53"/>
    <w:rsid w:val="004A6A88"/>
    <w:rsid w:val="004C5794"/>
    <w:rsid w:val="004C6838"/>
    <w:rsid w:val="004E338D"/>
    <w:rsid w:val="004F1B49"/>
    <w:rsid w:val="00540EFD"/>
    <w:rsid w:val="006268B2"/>
    <w:rsid w:val="00674DAC"/>
    <w:rsid w:val="006C4789"/>
    <w:rsid w:val="006D0AF3"/>
    <w:rsid w:val="007127AB"/>
    <w:rsid w:val="00763BE1"/>
    <w:rsid w:val="0078131A"/>
    <w:rsid w:val="008278DF"/>
    <w:rsid w:val="008414DC"/>
    <w:rsid w:val="00870FAD"/>
    <w:rsid w:val="00906B00"/>
    <w:rsid w:val="009335D0"/>
    <w:rsid w:val="00982851"/>
    <w:rsid w:val="00A108CA"/>
    <w:rsid w:val="00A40D80"/>
    <w:rsid w:val="00A60791"/>
    <w:rsid w:val="00AB5153"/>
    <w:rsid w:val="00AE3A78"/>
    <w:rsid w:val="00B00F80"/>
    <w:rsid w:val="00B12C51"/>
    <w:rsid w:val="00BA21EE"/>
    <w:rsid w:val="00C2028C"/>
    <w:rsid w:val="00C727E0"/>
    <w:rsid w:val="00D03920"/>
    <w:rsid w:val="00D10D3F"/>
    <w:rsid w:val="00D27572"/>
    <w:rsid w:val="00DC1D05"/>
    <w:rsid w:val="00E406E2"/>
    <w:rsid w:val="00E457AC"/>
    <w:rsid w:val="00E50E24"/>
    <w:rsid w:val="00EB5577"/>
    <w:rsid w:val="00EC4CF3"/>
    <w:rsid w:val="00F45C61"/>
    <w:rsid w:val="00F80828"/>
    <w:rsid w:val="00FD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49DA-9121-457A-8645-8A49108F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東谷　裕樹</dc:creator>
  <cp:lastModifiedBy>HOSTNAME</cp:lastModifiedBy>
  <cp:revision>2</cp:revision>
  <cp:lastPrinted>2016-02-10T01:16:00Z</cp:lastPrinted>
  <dcterms:created xsi:type="dcterms:W3CDTF">2016-03-15T09:00:00Z</dcterms:created>
  <dcterms:modified xsi:type="dcterms:W3CDTF">2016-03-15T09:00:00Z</dcterms:modified>
</cp:coreProperties>
</file>