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3" w:rsidRPr="00487BD3" w:rsidRDefault="00160736" w:rsidP="003966C6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87BD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5198F" wp14:editId="0B2252FA">
                <wp:simplePos x="0" y="0"/>
                <wp:positionH relativeFrom="column">
                  <wp:posOffset>5328285</wp:posOffset>
                </wp:positionH>
                <wp:positionV relativeFrom="paragraph">
                  <wp:posOffset>-415290</wp:posOffset>
                </wp:positionV>
                <wp:extent cx="101917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36" w:rsidRPr="00870BE8" w:rsidRDefault="00160736" w:rsidP="001607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70B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55pt;margin-top:-32.7pt;width:80.2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" fillcolor="white [3201]" strokeweight=".5pt">
                <v:textbox>
                  <w:txbxContent>
                    <w:p w:rsidR="00160736" w:rsidRPr="00870BE8" w:rsidRDefault="00160736" w:rsidP="0016073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 w:rsidRPr="00870B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D0A33" w:rsidRPr="00487BD3">
        <w:rPr>
          <w:rFonts w:ascii="HGP創英角ｺﾞｼｯｸUB" w:eastAsia="HGP創英角ｺﾞｼｯｸUB" w:hAnsi="HGP創英角ｺﾞｼｯｸUB" w:hint="eastAsia"/>
          <w:sz w:val="28"/>
          <w:szCs w:val="28"/>
        </w:rPr>
        <w:t>地方独立行政法人法（平成29</w:t>
      </w:r>
      <w:r w:rsidR="003966C6" w:rsidRPr="00487BD3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5D0A33" w:rsidRPr="00487BD3">
        <w:rPr>
          <w:rFonts w:ascii="HGP創英角ｺﾞｼｯｸUB" w:eastAsia="HGP創英角ｺﾞｼｯｸUB" w:hAnsi="HGP創英角ｺﾞｼｯｸUB" w:hint="eastAsia"/>
          <w:sz w:val="28"/>
          <w:szCs w:val="28"/>
        </w:rPr>
        <w:t>改正）の概要</w:t>
      </w:r>
    </w:p>
    <w:p w:rsidR="003966C6" w:rsidRPr="00487BD3" w:rsidRDefault="003966C6" w:rsidP="003966C6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87BD3">
        <w:rPr>
          <w:rFonts w:ascii="HGP創英角ｺﾞｼｯｸUB" w:eastAsia="HGP創英角ｺﾞｼｯｸUB" w:hAnsi="HGP創英角ｺﾞｼｯｸUB" w:hint="eastAsia"/>
          <w:sz w:val="28"/>
          <w:szCs w:val="28"/>
        </w:rPr>
        <w:t>（大安研関連箇所抜粋）</w:t>
      </w:r>
    </w:p>
    <w:p w:rsidR="003966C6" w:rsidRPr="00870BE8" w:rsidRDefault="003966C6" w:rsidP="003966C6">
      <w:pPr>
        <w:snapToGrid w:val="0"/>
        <w:ind w:firstLineChars="3000" w:firstLine="6452"/>
        <w:jc w:val="left"/>
        <w:rPr>
          <w:rFonts w:asciiTheme="majorEastAsia" w:eastAsiaTheme="majorEastAsia" w:hAnsiTheme="majorEastAsia"/>
          <w:sz w:val="22"/>
        </w:rPr>
      </w:pPr>
      <w:r w:rsidRPr="00870BE8">
        <w:rPr>
          <w:rFonts w:asciiTheme="majorEastAsia" w:eastAsiaTheme="majorEastAsia" w:hAnsiTheme="majorEastAsia" w:hint="eastAsia"/>
          <w:sz w:val="22"/>
        </w:rPr>
        <w:t>平成２９年６月９日公布</w:t>
      </w:r>
    </w:p>
    <w:p w:rsidR="003966C6" w:rsidRPr="00870BE8" w:rsidRDefault="003966C6" w:rsidP="003966C6">
      <w:pPr>
        <w:snapToGrid w:val="0"/>
        <w:ind w:firstLineChars="3000" w:firstLine="6452"/>
        <w:jc w:val="left"/>
        <w:rPr>
          <w:rFonts w:asciiTheme="majorEastAsia" w:eastAsiaTheme="majorEastAsia" w:hAnsiTheme="majorEastAsia"/>
          <w:sz w:val="22"/>
        </w:rPr>
      </w:pPr>
      <w:r w:rsidRPr="00870BE8">
        <w:rPr>
          <w:rFonts w:asciiTheme="majorEastAsia" w:eastAsiaTheme="majorEastAsia" w:hAnsiTheme="majorEastAsia" w:hint="eastAsia"/>
          <w:sz w:val="22"/>
        </w:rPr>
        <w:t>平成３０年４月１日施行</w:t>
      </w:r>
    </w:p>
    <w:p w:rsidR="003966C6" w:rsidRPr="00870BE8" w:rsidRDefault="003966C6" w:rsidP="00CB3783">
      <w:pPr>
        <w:snapToGrid w:val="0"/>
        <w:ind w:firstLineChars="2900" w:firstLine="6237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2"/>
        </w:rPr>
        <w:t>（</w:t>
      </w:r>
      <w:r w:rsidR="009B2AFB" w:rsidRPr="009B2AFB">
        <w:rPr>
          <w:rFonts w:asciiTheme="majorEastAsia" w:eastAsiaTheme="majorEastAsia" w:hAnsiTheme="majorEastAsia" w:hint="eastAsia"/>
          <w:sz w:val="22"/>
          <w:vertAlign w:val="superscript"/>
        </w:rPr>
        <w:t>※</w:t>
      </w:r>
      <w:r w:rsidRPr="00870BE8">
        <w:rPr>
          <w:rFonts w:asciiTheme="majorEastAsia" w:eastAsiaTheme="majorEastAsia" w:hAnsiTheme="majorEastAsia" w:hint="eastAsia"/>
          <w:sz w:val="22"/>
        </w:rPr>
        <w:t>一部は平成３２年４月１日施行）</w:t>
      </w:r>
    </w:p>
    <w:p w:rsidR="005D0A33" w:rsidRPr="00870BE8" w:rsidRDefault="005D0A33">
      <w:pPr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27580" wp14:editId="0562A3A5">
                <wp:simplePos x="0" y="0"/>
                <wp:positionH relativeFrom="column">
                  <wp:posOffset>-5715</wp:posOffset>
                </wp:positionH>
                <wp:positionV relativeFrom="paragraph">
                  <wp:posOffset>4445</wp:posOffset>
                </wp:positionV>
                <wp:extent cx="6153150" cy="323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238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A33" w:rsidRPr="00870BE8" w:rsidRDefault="00787FA8" w:rsidP="003966C6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870B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458C7" w:rsidRPr="00870B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A33" w:rsidRPr="00870B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ＰＤＣＡサイクルが機能する目標・評価の仕組みの構築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.45pt;margin-top:.35pt;width:48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" fillcolor="white [3201]" strokecolor="black [3200]" strokeweight=".5pt">
                <v:textbox>
                  <w:txbxContent>
                    <w:p w:rsidR="005D0A33" w:rsidRPr="00870BE8" w:rsidRDefault="00787FA8" w:rsidP="003966C6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870B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１</w:t>
                      </w:r>
                      <w:r w:rsidR="00E458C7" w:rsidRPr="00870B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5D0A33" w:rsidRPr="00870B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ＰＤＣＡサイクルが機能する目標・評価の仕組みの構築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FA8" w:rsidRPr="00870BE8" w:rsidRDefault="00787FA8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4D4CC2" w:rsidRPr="00870BE8">
        <w:rPr>
          <w:rFonts w:asciiTheme="majorEastAsia" w:eastAsiaTheme="majorEastAsia" w:hAnsiTheme="majorEastAsia" w:hint="eastAsia"/>
          <w:sz w:val="24"/>
          <w:szCs w:val="24"/>
        </w:rPr>
        <w:t>設立団体の長と評価委員会が果たす役割のあり方</w:t>
      </w:r>
    </w:p>
    <w:p w:rsidR="00787FA8" w:rsidRPr="00870BE8" w:rsidRDefault="00787FA8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・法人の</w:t>
      </w:r>
      <w:r w:rsidR="004D4CC2" w:rsidRPr="00870BE8">
        <w:rPr>
          <w:rFonts w:asciiTheme="minorEastAsia" w:hAnsiTheme="minorEastAsia" w:hint="eastAsia"/>
          <w:sz w:val="24"/>
          <w:szCs w:val="24"/>
        </w:rPr>
        <w:t>業</w:t>
      </w:r>
      <w:r w:rsidR="00D93713" w:rsidRPr="00870BE8">
        <w:rPr>
          <w:rFonts w:asciiTheme="minorEastAsia" w:hAnsiTheme="minorEastAsia" w:hint="eastAsia"/>
          <w:sz w:val="24"/>
          <w:szCs w:val="24"/>
        </w:rPr>
        <w:t>績</w:t>
      </w:r>
      <w:r w:rsidRPr="00870BE8">
        <w:rPr>
          <w:rFonts w:asciiTheme="minorEastAsia" w:hAnsiTheme="minorEastAsia" w:hint="eastAsia"/>
          <w:sz w:val="24"/>
          <w:szCs w:val="24"/>
        </w:rPr>
        <w:t>評価の主体を</w:t>
      </w:r>
      <w:r w:rsidR="004D4CC2" w:rsidRPr="00870BE8">
        <w:rPr>
          <w:rFonts w:asciiTheme="minorEastAsia" w:hAnsiTheme="minorEastAsia" w:hint="eastAsia"/>
          <w:sz w:val="24"/>
          <w:szCs w:val="24"/>
        </w:rPr>
        <w:t>現行の</w:t>
      </w:r>
      <w:r w:rsidRPr="00870BE8">
        <w:rPr>
          <w:rFonts w:asciiTheme="minorEastAsia" w:hAnsiTheme="minorEastAsia" w:hint="eastAsia"/>
          <w:sz w:val="24"/>
          <w:szCs w:val="24"/>
        </w:rPr>
        <w:t>評価委員会から設立団体の長に変更。</w:t>
      </w:r>
    </w:p>
    <w:p w:rsidR="004D4CC2" w:rsidRPr="00870BE8" w:rsidRDefault="00787FA8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inorEastAsia" w:hAnsiTheme="minorEastAsia" w:hint="eastAsia"/>
          <w:sz w:val="24"/>
          <w:szCs w:val="24"/>
        </w:rPr>
        <w:t xml:space="preserve">　　・設立団体</w:t>
      </w:r>
      <w:r w:rsidR="004D4CC2" w:rsidRPr="00870BE8">
        <w:rPr>
          <w:rFonts w:asciiTheme="minorEastAsia" w:hAnsiTheme="minorEastAsia" w:hint="eastAsia"/>
          <w:sz w:val="24"/>
          <w:szCs w:val="24"/>
        </w:rPr>
        <w:t>ごとに設置される評価委員会は存続するが、必要な役割は整理。</w:t>
      </w:r>
    </w:p>
    <w:p w:rsidR="00787FA8" w:rsidRPr="00870BE8" w:rsidRDefault="004D4CC2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inorEastAsia" w:hAnsiTheme="minorEastAsia" w:hint="eastAsia"/>
          <w:sz w:val="24"/>
          <w:szCs w:val="24"/>
        </w:rPr>
        <w:t xml:space="preserve">　　　設立団体の</w:t>
      </w:r>
      <w:r w:rsidR="00787FA8" w:rsidRPr="00870BE8">
        <w:rPr>
          <w:rFonts w:asciiTheme="minorEastAsia" w:hAnsiTheme="minorEastAsia" w:hint="eastAsia"/>
          <w:sz w:val="24"/>
          <w:szCs w:val="24"/>
        </w:rPr>
        <w:t>長に権限移譲したものは評価委員会の権限・事務を廃止。</w:t>
      </w:r>
    </w:p>
    <w:p w:rsidR="00787FA8" w:rsidRPr="00870BE8" w:rsidRDefault="004D4CC2" w:rsidP="00B83488">
      <w:pPr>
        <w:snapToGrid w:val="0"/>
        <w:spacing w:line="288" w:lineRule="auto"/>
        <w:ind w:left="705" w:hangingChars="300" w:hanging="705"/>
        <w:rPr>
          <w:rFonts w:asciiTheme="minorEastAsia" w:hAnsiTheme="minorEastAsia"/>
          <w:sz w:val="24"/>
          <w:szCs w:val="24"/>
        </w:rPr>
      </w:pPr>
      <w:r w:rsidRPr="00870BE8">
        <w:rPr>
          <w:rFonts w:asciiTheme="minorEastAsia" w:hAnsiTheme="minorEastAsia" w:hint="eastAsia"/>
          <w:sz w:val="24"/>
          <w:szCs w:val="24"/>
        </w:rPr>
        <w:t xml:space="preserve">　　・設立団体の長は、評価結果に基づき、法人に対して業務運営の改善等を命ずることができる。</w:t>
      </w:r>
    </w:p>
    <w:p w:rsidR="00894C91" w:rsidRPr="00870BE8" w:rsidRDefault="004D4CC2" w:rsidP="00B83488">
      <w:pPr>
        <w:snapToGrid w:val="0"/>
        <w:spacing w:line="288" w:lineRule="auto"/>
        <w:ind w:left="940" w:hangingChars="400" w:hanging="940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inorEastAsia" w:hAnsiTheme="minorEastAsia" w:hint="eastAsia"/>
          <w:sz w:val="24"/>
          <w:szCs w:val="24"/>
        </w:rPr>
        <w:t xml:space="preserve">　　・法人は、評価結果を業務運営の改善に反映させる。</w:t>
      </w:r>
    </w:p>
    <w:p w:rsidR="00787FA8" w:rsidRPr="00870BE8" w:rsidRDefault="00787FA8" w:rsidP="00B83488">
      <w:pPr>
        <w:snapToGrid w:val="0"/>
        <w:spacing w:line="288" w:lineRule="auto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 w:rsidR="000C1426" w:rsidRPr="00870BE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4D4CC2" w:rsidRPr="00870BE8">
        <w:rPr>
          <w:rFonts w:asciiTheme="majorEastAsia" w:eastAsiaTheme="majorEastAsia" w:hAnsiTheme="majorEastAsia" w:hint="eastAsia"/>
          <w:sz w:val="24"/>
          <w:szCs w:val="24"/>
        </w:rPr>
        <w:t>目標の具体化、業績評価の実施時期等の見直し</w:t>
      </w:r>
    </w:p>
    <w:p w:rsidR="00F73D09" w:rsidRPr="00870BE8" w:rsidRDefault="00787FA8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・具体的な中期目標を設定。</w:t>
      </w:r>
    </w:p>
    <w:p w:rsidR="000C1426" w:rsidRPr="00870BE8" w:rsidRDefault="004D4CC2" w:rsidP="00B83488">
      <w:pPr>
        <w:snapToGrid w:val="0"/>
        <w:spacing w:line="288" w:lineRule="auto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inorEastAsia" w:hAnsiTheme="minorEastAsia" w:hint="eastAsia"/>
          <w:sz w:val="24"/>
          <w:szCs w:val="24"/>
        </w:rPr>
        <w:t xml:space="preserve">　　・中期目標期間の最終年度に中期目標に係る業績評価を行う。</w:t>
      </w:r>
    </w:p>
    <w:p w:rsidR="000C1426" w:rsidRPr="00870BE8" w:rsidRDefault="00787FA8" w:rsidP="00B83488">
      <w:pPr>
        <w:snapToGrid w:val="0"/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56145"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D0A33" w:rsidRPr="00870BE8" w:rsidRDefault="005D0A33">
      <w:pPr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C92E3" wp14:editId="2D0BCCCF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153150" cy="3238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A33" w:rsidRPr="00870BE8" w:rsidRDefault="000C1426" w:rsidP="003966C6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870B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E458C7" w:rsidRPr="00870B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A33" w:rsidRPr="00870B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法人の内外から業務運営を改善する仕組みの導入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.45pt;margin-top:1.35pt;width:48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" fillcolor="window" strokecolor="windowText" strokeweight=".5pt">
                <v:textbox>
                  <w:txbxContent>
                    <w:p w:rsidR="005D0A33" w:rsidRPr="00870BE8" w:rsidRDefault="000C1426" w:rsidP="003966C6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870B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２</w:t>
                      </w:r>
                      <w:r w:rsidR="00E458C7" w:rsidRPr="00870B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5D0A33" w:rsidRPr="00870B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法人の内外から業務運営を改善する仕組みの導入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426" w:rsidRPr="00870BE8" w:rsidRDefault="000C1426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4D4CC2" w:rsidRPr="00870BE8">
        <w:rPr>
          <w:rFonts w:asciiTheme="majorEastAsia" w:eastAsiaTheme="majorEastAsia" w:hAnsiTheme="majorEastAsia" w:hint="eastAsia"/>
          <w:sz w:val="24"/>
          <w:szCs w:val="24"/>
        </w:rPr>
        <w:t>内部統制体制の明確化</w:t>
      </w:r>
    </w:p>
    <w:p w:rsidR="000C1426" w:rsidRPr="00870BE8" w:rsidRDefault="000C1426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</w:t>
      </w:r>
      <w:r w:rsidR="004D4CC2" w:rsidRPr="00870BE8">
        <w:rPr>
          <w:rFonts w:asciiTheme="minorEastAsia" w:hAnsiTheme="minorEastAsia" w:hint="eastAsia"/>
          <w:sz w:val="24"/>
          <w:szCs w:val="24"/>
        </w:rPr>
        <w:t>業務方法書において、内部統制体制について明確化する。</w:t>
      </w:r>
    </w:p>
    <w:p w:rsidR="000C1426" w:rsidRPr="00870BE8" w:rsidRDefault="000C1426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4D4CC2" w:rsidRPr="00870BE8">
        <w:rPr>
          <w:rFonts w:asciiTheme="majorEastAsia" w:eastAsiaTheme="majorEastAsia" w:hAnsiTheme="majorEastAsia" w:hint="eastAsia"/>
          <w:sz w:val="24"/>
          <w:szCs w:val="24"/>
        </w:rPr>
        <w:t>監事・会計監査人の権限・役割等の明確化</w:t>
      </w:r>
    </w:p>
    <w:p w:rsidR="000C1426" w:rsidRPr="00870BE8" w:rsidRDefault="000C1426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</w:t>
      </w:r>
      <w:r w:rsidR="004D4CC2" w:rsidRPr="00870BE8">
        <w:rPr>
          <w:rFonts w:asciiTheme="minorEastAsia" w:hAnsiTheme="minorEastAsia" w:hint="eastAsia"/>
          <w:sz w:val="24"/>
          <w:szCs w:val="24"/>
        </w:rPr>
        <w:t>監事や会計監査人の権限や義務を明確化する</w:t>
      </w:r>
      <w:r w:rsidRPr="00870BE8">
        <w:rPr>
          <w:rFonts w:asciiTheme="minorEastAsia" w:hAnsiTheme="minorEastAsia" w:hint="eastAsia"/>
          <w:sz w:val="24"/>
          <w:szCs w:val="24"/>
        </w:rPr>
        <w:t>。</w:t>
      </w:r>
    </w:p>
    <w:p w:rsidR="000C1426" w:rsidRPr="00870BE8" w:rsidRDefault="000C1426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(3)役員</w:t>
      </w:r>
      <w:r w:rsidR="004D4CC2" w:rsidRPr="00870BE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の任期</w:t>
      </w:r>
    </w:p>
    <w:p w:rsidR="000C1426" w:rsidRPr="00870BE8" w:rsidRDefault="000C1426" w:rsidP="00B83488">
      <w:pPr>
        <w:snapToGrid w:val="0"/>
        <w:spacing w:line="288" w:lineRule="auto"/>
        <w:ind w:left="705" w:hangingChars="300" w:hanging="705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</w:t>
      </w:r>
      <w:r w:rsidR="004D4CC2" w:rsidRPr="00870BE8">
        <w:rPr>
          <w:rFonts w:asciiTheme="minorEastAsia" w:hAnsiTheme="minorEastAsia" w:hint="eastAsia"/>
          <w:sz w:val="24"/>
          <w:szCs w:val="24"/>
        </w:rPr>
        <w:t>法人の長の任期を「</w:t>
      </w:r>
      <w:r w:rsidR="00554E73" w:rsidRPr="00870BE8">
        <w:rPr>
          <w:rFonts w:asciiTheme="minorEastAsia" w:hAnsiTheme="minorEastAsia" w:hint="eastAsia"/>
          <w:sz w:val="24"/>
          <w:szCs w:val="24"/>
        </w:rPr>
        <w:t>中期目標期間又は４年間のいずれか長い期間内において定款で定める</w:t>
      </w:r>
      <w:r w:rsidRPr="00870BE8">
        <w:rPr>
          <w:rFonts w:asciiTheme="minorEastAsia" w:hAnsiTheme="minorEastAsia" w:hint="eastAsia"/>
          <w:sz w:val="24"/>
          <w:szCs w:val="24"/>
        </w:rPr>
        <w:t>期間</w:t>
      </w:r>
      <w:r w:rsidR="00554E73" w:rsidRPr="00870BE8">
        <w:rPr>
          <w:rFonts w:asciiTheme="minorEastAsia" w:hAnsiTheme="minorEastAsia" w:hint="eastAsia"/>
          <w:sz w:val="24"/>
          <w:szCs w:val="24"/>
        </w:rPr>
        <w:t>」として規定</w:t>
      </w:r>
      <w:r w:rsidRPr="00870BE8">
        <w:rPr>
          <w:rFonts w:asciiTheme="minorEastAsia" w:hAnsiTheme="minorEastAsia" w:hint="eastAsia"/>
          <w:sz w:val="24"/>
          <w:szCs w:val="24"/>
        </w:rPr>
        <w:t>。</w:t>
      </w:r>
    </w:p>
    <w:p w:rsidR="00554E73" w:rsidRPr="00870BE8" w:rsidRDefault="000C1426" w:rsidP="00B83488">
      <w:pPr>
        <w:snapToGrid w:val="0"/>
        <w:spacing w:line="288" w:lineRule="auto"/>
        <w:ind w:left="705" w:hangingChars="300" w:hanging="705"/>
        <w:rPr>
          <w:rFonts w:asciiTheme="minorEastAsia" w:hAnsiTheme="minorEastAsia"/>
          <w:sz w:val="24"/>
          <w:szCs w:val="24"/>
          <w:u w:val="single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</w:t>
      </w:r>
      <w:r w:rsidR="002C15F5" w:rsidRPr="00870BE8">
        <w:rPr>
          <w:rFonts w:asciiTheme="minorEastAsia" w:hAnsiTheme="minorEastAsia" w:hint="eastAsia"/>
          <w:sz w:val="24"/>
          <w:szCs w:val="24"/>
        </w:rPr>
        <w:t>監事の任期は</w:t>
      </w:r>
      <w:r w:rsidR="00554E73" w:rsidRPr="00870BE8">
        <w:rPr>
          <w:rFonts w:asciiTheme="minorEastAsia" w:hAnsiTheme="minorEastAsia" w:hint="eastAsia"/>
          <w:sz w:val="24"/>
          <w:szCs w:val="24"/>
        </w:rPr>
        <w:t>法人の長の任期と対応して規定。</w:t>
      </w:r>
    </w:p>
    <w:p w:rsidR="000C1426" w:rsidRPr="00870BE8" w:rsidRDefault="000C1426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94C91" w:rsidRPr="00870BE8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)役員の</w:t>
      </w:r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職務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忠実義務</w:t>
      </w:r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・損害賠償責任の明確化</w:t>
      </w:r>
    </w:p>
    <w:p w:rsidR="00894C91" w:rsidRPr="00870BE8" w:rsidRDefault="00894C91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・役員の職務忠実義務</w:t>
      </w:r>
      <w:r w:rsidR="00554E73" w:rsidRPr="00870BE8">
        <w:rPr>
          <w:rFonts w:asciiTheme="minorEastAsia" w:hAnsiTheme="minorEastAsia" w:hint="eastAsia"/>
          <w:sz w:val="24"/>
          <w:szCs w:val="24"/>
        </w:rPr>
        <w:t>・</w:t>
      </w:r>
      <w:r w:rsidR="009B2AFB" w:rsidRPr="009B2AF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554E73" w:rsidRPr="00870BE8">
        <w:rPr>
          <w:rFonts w:asciiTheme="minorEastAsia" w:hAnsiTheme="minorEastAsia" w:hint="eastAsia"/>
          <w:sz w:val="24"/>
          <w:szCs w:val="24"/>
        </w:rPr>
        <w:t>任務懈怠に対する損害賠償責任を規定</w:t>
      </w:r>
      <w:r w:rsidRPr="00870BE8">
        <w:rPr>
          <w:rFonts w:asciiTheme="minorEastAsia" w:hAnsiTheme="minorEastAsia" w:hint="eastAsia"/>
          <w:sz w:val="24"/>
          <w:szCs w:val="24"/>
        </w:rPr>
        <w:t>。</w:t>
      </w:r>
    </w:p>
    <w:p w:rsidR="000C1426" w:rsidRPr="00870BE8" w:rsidRDefault="000C1426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94C91" w:rsidRPr="00870BE8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一般地方独立行政法人の</w:t>
      </w:r>
      <w:bookmarkStart w:id="0" w:name="_GoBack"/>
      <w:bookmarkEnd w:id="0"/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役職員の再就職等規制</w:t>
      </w:r>
    </w:p>
    <w:p w:rsidR="000C1426" w:rsidRPr="00870BE8" w:rsidRDefault="000C1426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</w:t>
      </w:r>
      <w:r w:rsidR="00554E73" w:rsidRPr="00870BE8">
        <w:rPr>
          <w:rFonts w:asciiTheme="minorEastAsia" w:hAnsiTheme="minorEastAsia" w:hint="eastAsia"/>
          <w:sz w:val="24"/>
          <w:szCs w:val="24"/>
        </w:rPr>
        <w:t>一般地独法人について再就職等規制を導入</w:t>
      </w:r>
      <w:r w:rsidRPr="00870BE8">
        <w:rPr>
          <w:rFonts w:asciiTheme="minorEastAsia" w:hAnsiTheme="minorEastAsia" w:hint="eastAsia"/>
          <w:sz w:val="24"/>
          <w:szCs w:val="24"/>
        </w:rPr>
        <w:t>。</w:t>
      </w:r>
    </w:p>
    <w:p w:rsidR="000C1426" w:rsidRPr="00870BE8" w:rsidRDefault="00894C91" w:rsidP="00B83488">
      <w:pPr>
        <w:snapToGrid w:val="0"/>
        <w:spacing w:line="288" w:lineRule="auto"/>
        <w:ind w:left="705" w:hangingChars="300" w:hanging="70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1426" w:rsidRPr="00870BE8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0C1426" w:rsidRPr="00870BE8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334A9">
        <w:rPr>
          <w:rFonts w:asciiTheme="majorEastAsia" w:eastAsiaTheme="majorEastAsia" w:hAnsiTheme="majorEastAsia" w:hint="eastAsia"/>
          <w:sz w:val="24"/>
          <w:szCs w:val="24"/>
        </w:rPr>
        <w:t>職員の</w:t>
      </w:r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給与等の基準</w:t>
      </w:r>
    </w:p>
    <w:p w:rsidR="000C1426" w:rsidRPr="00870BE8" w:rsidRDefault="000C1426" w:rsidP="00B83488">
      <w:pPr>
        <w:snapToGrid w:val="0"/>
        <w:spacing w:line="288" w:lineRule="auto"/>
        <w:ind w:left="705" w:hangingChars="300" w:hanging="70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54E73" w:rsidRPr="00870BE8">
        <w:rPr>
          <w:rFonts w:asciiTheme="minorEastAsia" w:hAnsiTheme="minorEastAsia" w:hint="eastAsia"/>
          <w:sz w:val="24"/>
          <w:szCs w:val="24"/>
        </w:rPr>
        <w:t>・一般地独法人の職員の給与等の支給基準について、国・地方公務員の給与等、民間企業の給</w:t>
      </w:r>
      <w:r w:rsidR="009B2AFB">
        <w:rPr>
          <w:rFonts w:asciiTheme="minorEastAsia" w:hAnsiTheme="minorEastAsia" w:hint="eastAsia"/>
          <w:sz w:val="24"/>
          <w:szCs w:val="24"/>
        </w:rPr>
        <w:t>与等、法人の業務実績、職員の職務の特性及び雇用形態その他の事情</w:t>
      </w:r>
      <w:r w:rsidR="00554E73" w:rsidRPr="00870BE8">
        <w:rPr>
          <w:rFonts w:asciiTheme="minorEastAsia" w:hAnsiTheme="minorEastAsia" w:hint="eastAsia"/>
          <w:sz w:val="24"/>
          <w:szCs w:val="24"/>
        </w:rPr>
        <w:t>を考慮する。</w:t>
      </w:r>
    </w:p>
    <w:p w:rsidR="000C1426" w:rsidRPr="00870BE8" w:rsidRDefault="000C1426" w:rsidP="00B83488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94C91" w:rsidRPr="00870BE8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870BE8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役員の公募・推薦等</w:t>
      </w:r>
    </w:p>
    <w:p w:rsidR="000C1426" w:rsidRPr="00870BE8" w:rsidRDefault="00554E73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・独法通則法と同様の人材登用に関する規定を設ける。</w:t>
      </w:r>
    </w:p>
    <w:p w:rsidR="00C11519" w:rsidRPr="00870BE8" w:rsidRDefault="00C11519" w:rsidP="00B83488">
      <w:pPr>
        <w:snapToGrid w:val="0"/>
        <w:spacing w:line="288" w:lineRule="auto"/>
        <w:rPr>
          <w:rFonts w:asciiTheme="majorEastAsia" w:eastAsiaTheme="majorEastAsia" w:hAnsiTheme="maj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(8)</w:t>
      </w:r>
      <w:r w:rsidR="00554E73" w:rsidRPr="00870BE8">
        <w:rPr>
          <w:rFonts w:asciiTheme="majorEastAsia" w:eastAsiaTheme="majorEastAsia" w:hAnsiTheme="majorEastAsia" w:hint="eastAsia"/>
          <w:sz w:val="24"/>
          <w:szCs w:val="24"/>
        </w:rPr>
        <w:t>著しく不適切な法人運営等についての是正措置</w:t>
      </w:r>
    </w:p>
    <w:p w:rsidR="00554E73" w:rsidRPr="00870BE8" w:rsidRDefault="00554E73" w:rsidP="00B83488">
      <w:pPr>
        <w:snapToGrid w:val="0"/>
        <w:spacing w:line="288" w:lineRule="auto"/>
        <w:rPr>
          <w:rFonts w:asciiTheme="minorEastAsia" w:hAnsiTheme="minorEastAsia"/>
          <w:sz w:val="24"/>
          <w:szCs w:val="24"/>
        </w:rPr>
      </w:pPr>
      <w:r w:rsidRPr="00870B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0BE8">
        <w:rPr>
          <w:rFonts w:asciiTheme="minorEastAsia" w:hAnsiTheme="minorEastAsia" w:hint="eastAsia"/>
          <w:sz w:val="24"/>
          <w:szCs w:val="24"/>
        </w:rPr>
        <w:t>・設立団体の長による不適正な業務運営に対する是正措置の規定。</w:t>
      </w:r>
    </w:p>
    <w:sectPr w:rsidR="00554E73" w:rsidRPr="00870BE8" w:rsidSect="003966C6">
      <w:pgSz w:w="11906" w:h="16838" w:code="9"/>
      <w:pgMar w:top="1134" w:right="1134" w:bottom="113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D7" w:rsidRDefault="00292BD7" w:rsidP="00787FA8">
      <w:r>
        <w:separator/>
      </w:r>
    </w:p>
  </w:endnote>
  <w:endnote w:type="continuationSeparator" w:id="0">
    <w:p w:rsidR="00292BD7" w:rsidRDefault="00292BD7" w:rsidP="007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D7" w:rsidRDefault="00292BD7" w:rsidP="00787FA8">
      <w:r>
        <w:separator/>
      </w:r>
    </w:p>
  </w:footnote>
  <w:footnote w:type="continuationSeparator" w:id="0">
    <w:p w:rsidR="00292BD7" w:rsidRDefault="00292BD7" w:rsidP="0078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E7"/>
    <w:rsid w:val="00034692"/>
    <w:rsid w:val="000B0FED"/>
    <w:rsid w:val="000C1426"/>
    <w:rsid w:val="00160736"/>
    <w:rsid w:val="00165A62"/>
    <w:rsid w:val="001B7DBF"/>
    <w:rsid w:val="001C624A"/>
    <w:rsid w:val="00200DC2"/>
    <w:rsid w:val="00292BD7"/>
    <w:rsid w:val="002C15F5"/>
    <w:rsid w:val="002C1C37"/>
    <w:rsid w:val="002E4DBB"/>
    <w:rsid w:val="00341DE7"/>
    <w:rsid w:val="003966C6"/>
    <w:rsid w:val="00487BD3"/>
    <w:rsid w:val="004A2D3C"/>
    <w:rsid w:val="004D4CC2"/>
    <w:rsid w:val="004F1856"/>
    <w:rsid w:val="00541764"/>
    <w:rsid w:val="00552FDE"/>
    <w:rsid w:val="00554E73"/>
    <w:rsid w:val="005D0A33"/>
    <w:rsid w:val="006360E7"/>
    <w:rsid w:val="00663E8C"/>
    <w:rsid w:val="006F0D24"/>
    <w:rsid w:val="007215A1"/>
    <w:rsid w:val="00781ACD"/>
    <w:rsid w:val="00787FA8"/>
    <w:rsid w:val="008363B1"/>
    <w:rsid w:val="00870BE8"/>
    <w:rsid w:val="008725D3"/>
    <w:rsid w:val="00894C91"/>
    <w:rsid w:val="008A5610"/>
    <w:rsid w:val="008B3913"/>
    <w:rsid w:val="009B2AFB"/>
    <w:rsid w:val="009D5B6D"/>
    <w:rsid w:val="00A1261E"/>
    <w:rsid w:val="00A95B54"/>
    <w:rsid w:val="00B83488"/>
    <w:rsid w:val="00C11519"/>
    <w:rsid w:val="00C135EE"/>
    <w:rsid w:val="00C35BB2"/>
    <w:rsid w:val="00C56145"/>
    <w:rsid w:val="00CB3783"/>
    <w:rsid w:val="00D018C3"/>
    <w:rsid w:val="00D93713"/>
    <w:rsid w:val="00E1178E"/>
    <w:rsid w:val="00E23341"/>
    <w:rsid w:val="00E350F7"/>
    <w:rsid w:val="00E458C7"/>
    <w:rsid w:val="00EC0B4D"/>
    <w:rsid w:val="00F334A9"/>
    <w:rsid w:val="00F53248"/>
    <w:rsid w:val="00F73D09"/>
    <w:rsid w:val="00F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FA8"/>
  </w:style>
  <w:style w:type="paragraph" w:styleId="a5">
    <w:name w:val="footer"/>
    <w:basedOn w:val="a"/>
    <w:link w:val="a6"/>
    <w:uiPriority w:val="99"/>
    <w:unhideWhenUsed/>
    <w:rsid w:val="0078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FA8"/>
  </w:style>
  <w:style w:type="paragraph" w:styleId="a7">
    <w:name w:val="Date"/>
    <w:basedOn w:val="a"/>
    <w:next w:val="a"/>
    <w:link w:val="a8"/>
    <w:uiPriority w:val="99"/>
    <w:semiHidden/>
    <w:unhideWhenUsed/>
    <w:rsid w:val="003966C6"/>
  </w:style>
  <w:style w:type="character" w:customStyle="1" w:styleId="a8">
    <w:name w:val="日付 (文字)"/>
    <w:basedOn w:val="a0"/>
    <w:link w:val="a7"/>
    <w:uiPriority w:val="99"/>
    <w:semiHidden/>
    <w:rsid w:val="003966C6"/>
  </w:style>
  <w:style w:type="paragraph" w:styleId="Web">
    <w:name w:val="Normal (Web)"/>
    <w:basedOn w:val="a"/>
    <w:uiPriority w:val="99"/>
    <w:semiHidden/>
    <w:unhideWhenUsed/>
    <w:rsid w:val="00CB3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FA8"/>
  </w:style>
  <w:style w:type="paragraph" w:styleId="a5">
    <w:name w:val="footer"/>
    <w:basedOn w:val="a"/>
    <w:link w:val="a6"/>
    <w:uiPriority w:val="99"/>
    <w:unhideWhenUsed/>
    <w:rsid w:val="0078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FA8"/>
  </w:style>
  <w:style w:type="paragraph" w:styleId="a7">
    <w:name w:val="Date"/>
    <w:basedOn w:val="a"/>
    <w:next w:val="a"/>
    <w:link w:val="a8"/>
    <w:uiPriority w:val="99"/>
    <w:semiHidden/>
    <w:unhideWhenUsed/>
    <w:rsid w:val="003966C6"/>
  </w:style>
  <w:style w:type="character" w:customStyle="1" w:styleId="a8">
    <w:name w:val="日付 (文字)"/>
    <w:basedOn w:val="a0"/>
    <w:link w:val="a7"/>
    <w:uiPriority w:val="99"/>
    <w:semiHidden/>
    <w:rsid w:val="003966C6"/>
  </w:style>
  <w:style w:type="paragraph" w:styleId="Web">
    <w:name w:val="Normal (Web)"/>
    <w:basedOn w:val="a"/>
    <w:uiPriority w:val="99"/>
    <w:semiHidden/>
    <w:unhideWhenUsed/>
    <w:rsid w:val="00CB3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大阪府</cp:lastModifiedBy>
  <cp:revision>32</cp:revision>
  <cp:lastPrinted>2018-02-05T05:32:00Z</cp:lastPrinted>
  <dcterms:created xsi:type="dcterms:W3CDTF">2017-10-20T01:00:00Z</dcterms:created>
  <dcterms:modified xsi:type="dcterms:W3CDTF">2018-02-05T06:36:00Z</dcterms:modified>
</cp:coreProperties>
</file>