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EC" w:rsidRDefault="006F30ED">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4519295</wp:posOffset>
                </wp:positionH>
                <wp:positionV relativeFrom="paragraph">
                  <wp:posOffset>-356870</wp:posOffset>
                </wp:positionV>
                <wp:extent cx="1362075" cy="457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36207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42EFB" id="正方形/長方形 2" o:spid="_x0000_s1026" style="position:absolute;left:0;text-align:left;margin-left:355.85pt;margin-top:-28.1pt;width:10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" filled="f" strokecolor="black [3213]" strokeweight="1pt"/>
            </w:pict>
          </mc:Fallback>
        </mc:AlternateContent>
      </w: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4481195</wp:posOffset>
                </wp:positionH>
                <wp:positionV relativeFrom="paragraph">
                  <wp:posOffset>-328295</wp:posOffset>
                </wp:positionV>
                <wp:extent cx="172402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724025" cy="466725"/>
                        </a:xfrm>
                        <a:prstGeom prst="rect">
                          <a:avLst/>
                        </a:prstGeom>
                        <a:solidFill>
                          <a:schemeClr val="lt1"/>
                        </a:solidFill>
                        <a:ln w="12700">
                          <a:noFill/>
                        </a:ln>
                      </wps:spPr>
                      <wps:txbx>
                        <w:txbxContent>
                          <w:p w:rsidR="006F30ED" w:rsidRPr="006F30ED" w:rsidRDefault="006F30ED">
                            <w:pPr>
                              <w:rPr>
                                <w:rFonts w:ascii="ＭＳ ゴシック" w:eastAsia="ＭＳ ゴシック" w:hAnsi="ＭＳ ゴシック" w:hint="eastAsia"/>
                                <w:sz w:val="40"/>
                              </w:rPr>
                            </w:pPr>
                            <w:r w:rsidRPr="006F30ED">
                              <w:rPr>
                                <w:rFonts w:ascii="ＭＳ ゴシック" w:eastAsia="ＭＳ ゴシック" w:hAnsi="ＭＳ ゴシック" w:hint="eastAsia"/>
                                <w:sz w:val="40"/>
                              </w:rPr>
                              <w:t>参考資料</w:t>
                            </w:r>
                            <w:r w:rsidRPr="006F30ED">
                              <w:rPr>
                                <w:rFonts w:ascii="ＭＳ ゴシック" w:eastAsia="ＭＳ ゴシック" w:hAnsi="ＭＳ ゴシック"/>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2.85pt;margin-top:-25.85pt;width:135.75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" fillcolor="white [3201]" stroked="f" strokeweight="1pt">
                <v:textbox>
                  <w:txbxContent>
                    <w:p w:rsidR="006F30ED" w:rsidRPr="006F30ED" w:rsidRDefault="006F30ED">
                      <w:pPr>
                        <w:rPr>
                          <w:rFonts w:ascii="ＭＳ ゴシック" w:eastAsia="ＭＳ ゴシック" w:hAnsi="ＭＳ ゴシック" w:hint="eastAsia"/>
                          <w:sz w:val="40"/>
                        </w:rPr>
                      </w:pPr>
                      <w:r w:rsidRPr="006F30ED">
                        <w:rPr>
                          <w:rFonts w:ascii="ＭＳ ゴシック" w:eastAsia="ＭＳ ゴシック" w:hAnsi="ＭＳ ゴシック" w:hint="eastAsia"/>
                          <w:sz w:val="40"/>
                        </w:rPr>
                        <w:t>参考資料</w:t>
                      </w:r>
                      <w:r w:rsidRPr="006F30ED">
                        <w:rPr>
                          <w:rFonts w:ascii="ＭＳ ゴシック" w:eastAsia="ＭＳ ゴシック" w:hAnsi="ＭＳ ゴシック"/>
                          <w:sz w:val="36"/>
                        </w:rPr>
                        <w:t>４</w:t>
                      </w:r>
                    </w:p>
                  </w:txbxContent>
                </v:textbox>
              </v:shape>
            </w:pict>
          </mc:Fallback>
        </mc:AlternateContent>
      </w:r>
      <w:r w:rsidR="00745BEC">
        <w:rPr>
          <w:rFonts w:ascii="ＭＳ 明朝" w:eastAsia="ＭＳ 明朝" w:hAnsi="ＭＳ 明朝" w:cs="ＭＳ 明朝" w:hint="eastAsia"/>
          <w:color w:val="000000"/>
          <w:kern w:val="0"/>
          <w:szCs w:val="21"/>
        </w:rPr>
        <w:t>○大阪府立こんごう福祉センター指定管理者評価委員会規則</w:t>
      </w:r>
      <w:bookmarkStart w:id="0" w:name="_GoBack"/>
      <w:bookmarkEnd w:id="0"/>
    </w:p>
    <w:p w:rsidR="00745BEC" w:rsidRDefault="00745BE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745BEC" w:rsidRDefault="00745BE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大阪府規則第百六十六号</w:t>
      </w:r>
    </w:p>
    <w:p w:rsidR="00745BEC" w:rsidRDefault="00745BE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平成二八年三月三〇日規則第七五号</w:t>
      </w:r>
    </w:p>
    <w:p w:rsidR="00745BEC" w:rsidRDefault="00745BE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平成二九年三月三〇日規則第五六号</w:t>
      </w:r>
    </w:p>
    <w:p w:rsidR="00745BEC" w:rsidRDefault="00745BE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令和四年六月六日規則第五四号</w:t>
      </w:r>
    </w:p>
    <w:p w:rsidR="00745BEC" w:rsidRDefault="00745BE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〔大阪府立金剛コロニー指定管理者評価委員会規則〕を公布する。</w:t>
      </w:r>
    </w:p>
    <w:p w:rsidR="00745BEC" w:rsidRDefault="00745B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大阪府立こんごう福祉センター指定管理者評価委員会規則</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（平二九規則五六・改称）</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こんごう福祉センター指定管理者評価委員会（以下「委員会」という。）の組織、委員の報酬及び費用弁償の額その他委員会に関し必要な事項を定めるものとす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（平二九規則五六・一部改正）</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（平二八規則七五・旧第三条繰上、令四規則五四・一部改正）</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（平二八規則七五・旧第四条繰上）</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（平二八規則七五・旧第五条繰上）</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（平二八規則七五・旧第六条繰上）</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（平二八規則七五・旧第七条繰上・一部改正）</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（平二八規則七五・旧第八条繰上）</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委員会の庶務は、福祉部において行う。</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（平二八規則七五・旧第九条繰上）</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（平二八規則七五・旧第十条繰上）</w:t>
      </w:r>
    </w:p>
    <w:p w:rsidR="00745BEC" w:rsidRDefault="00745B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745BEC" w:rsidRDefault="00745B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則（平成二八年規則第七五号）</w:t>
      </w:r>
    </w:p>
    <w:p w:rsidR="00745BEC" w:rsidRDefault="00745BE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745BEC" w:rsidRDefault="00745B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則（平成二九年規則第五六号）</w:t>
      </w:r>
    </w:p>
    <w:p w:rsidR="00745BEC" w:rsidRDefault="00745BE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この規則は、平成二十九年四月一日から施行する。</w:t>
      </w:r>
    </w:p>
    <w:p w:rsidR="00745BEC" w:rsidRDefault="00745B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則（令和四年規則第五四号）</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令和九年三月三十一日までの間に改正後の大阪府立こんごう福祉センター指定管理者評価委員会規則第二条第二項の規定により任命される大阪府立こんごう福祉センター指定管理者評価委員会の委員（補欠の委員を除く。）の任期は、同条第三項本文の規定にかかわらず、任命の日から令和九年三月三十一日までとする。</w:t>
      </w:r>
    </w:p>
    <w:p w:rsidR="00745BEC" w:rsidRDefault="00745BEC">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745BEC">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EB"/>
    <w:rsid w:val="002B72EB"/>
    <w:rsid w:val="006F30ED"/>
    <w:rsid w:val="00745BEC"/>
    <w:rsid w:val="00BD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47C180"/>
  <w14:defaultImageDpi w14:val="0"/>
  <w15:docId w15:val="{B48F62D4-70AB-498D-AA05-09FEF73F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2E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B72E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1533</Words>
  <Characters>91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季雪</dc:creator>
  <cp:keywords/>
  <dc:description/>
  <cp:lastModifiedBy>中谷　季雪</cp:lastModifiedBy>
  <cp:revision>3</cp:revision>
  <cp:lastPrinted>2022-09-29T03:08:00Z</cp:lastPrinted>
  <dcterms:created xsi:type="dcterms:W3CDTF">2023-03-17T07:38:00Z</dcterms:created>
  <dcterms:modified xsi:type="dcterms:W3CDTF">2023-03-20T01:06:00Z</dcterms:modified>
</cp:coreProperties>
</file>