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B9DCC" w14:textId="0E441B86" w:rsidR="0072573F" w:rsidRPr="000F7987" w:rsidRDefault="00112C15" w:rsidP="006D2400">
      <w:pPr>
        <w:jc w:val="center"/>
        <w:rPr>
          <w:rFonts w:asciiTheme="majorEastAsia" w:eastAsiaTheme="majorEastAsia" w:hAnsiTheme="majorEastAsia"/>
          <w:sz w:val="28"/>
          <w:szCs w:val="2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58240" behindDoc="0" locked="0" layoutInCell="1" allowOverlap="1" wp14:editId="28B60F40">
                <wp:simplePos x="0" y="0"/>
                <wp:positionH relativeFrom="column">
                  <wp:posOffset>4392295</wp:posOffset>
                </wp:positionH>
                <wp:positionV relativeFrom="paragraph">
                  <wp:posOffset>-610079</wp:posOffset>
                </wp:positionV>
                <wp:extent cx="1314450" cy="5048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048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FF8C1B" w14:textId="1A94D334" w:rsidR="00112C15" w:rsidRPr="00112C15" w:rsidRDefault="00112C15" w:rsidP="00112C15">
                            <w:pPr>
                              <w:jc w:val="center"/>
                              <w:rPr>
                                <w:rFonts w:ascii="ＭＳ ゴシック" w:eastAsia="ＭＳ ゴシック" w:hAnsi="ＭＳ ゴシック"/>
                                <w:b/>
                                <w:sz w:val="28"/>
                              </w:rPr>
                            </w:pPr>
                            <w:bookmarkStart w:id="0" w:name="_GoBack"/>
                            <w:r w:rsidRPr="00663625">
                              <w:rPr>
                                <w:rFonts w:ascii="ＭＳ ゴシック" w:eastAsia="ＭＳ ゴシック" w:hAnsi="ＭＳ ゴシック" w:hint="eastAsia"/>
                                <w:b/>
                                <w:sz w:val="28"/>
                              </w:rPr>
                              <w:t>参考資料</w:t>
                            </w:r>
                            <w:r>
                              <w:rPr>
                                <w:rFonts w:ascii="ＭＳ ゴシック" w:eastAsia="ＭＳ ゴシック" w:hAnsi="ＭＳ ゴシック" w:hint="eastAsia"/>
                                <w:b/>
                                <w:sz w:val="28"/>
                              </w:rPr>
                              <w:t>２</w:t>
                            </w:r>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45.85pt;margin-top:-48.05pt;width:103.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">
                <v:textbox inset="5.85pt,.7pt,5.85pt,.7pt">
                  <w:txbxContent>
                    <w:p w14:paraId="73FF8C1B" w14:textId="1A94D334" w:rsidR="00112C15" w:rsidRPr="00112C15" w:rsidRDefault="00112C15" w:rsidP="00112C15">
                      <w:pPr>
                        <w:jc w:val="center"/>
                        <w:rPr>
                          <w:rFonts w:ascii="ＭＳ ゴシック" w:eastAsia="ＭＳ ゴシック" w:hAnsi="ＭＳ ゴシック"/>
                          <w:b/>
                          <w:sz w:val="28"/>
                        </w:rPr>
                      </w:pPr>
                      <w:bookmarkStart w:id="1" w:name="_GoBack"/>
                      <w:r w:rsidRPr="00663625">
                        <w:rPr>
                          <w:rFonts w:ascii="ＭＳ ゴシック" w:eastAsia="ＭＳ ゴシック" w:hAnsi="ＭＳ ゴシック" w:hint="eastAsia"/>
                          <w:b/>
                          <w:sz w:val="28"/>
                        </w:rPr>
                        <w:t>参考資料</w:t>
                      </w:r>
                      <w:r>
                        <w:rPr>
                          <w:rFonts w:ascii="ＭＳ ゴシック" w:eastAsia="ＭＳ ゴシック" w:hAnsi="ＭＳ ゴシック" w:hint="eastAsia"/>
                          <w:b/>
                          <w:sz w:val="28"/>
                        </w:rPr>
                        <w:t>２</w:t>
                      </w:r>
                      <w:bookmarkEnd w:id="1"/>
                    </w:p>
                  </w:txbxContent>
                </v:textbox>
              </v:rect>
            </w:pict>
          </mc:Fallback>
        </mc:AlternateContent>
      </w:r>
      <w:r w:rsidR="00996340" w:rsidRPr="00663625">
        <w:rPr>
          <w:rFonts w:asciiTheme="majorEastAsia" w:eastAsiaTheme="majorEastAsia" w:hAnsiTheme="majorEastAsia" w:hint="eastAsia"/>
          <w:sz w:val="26"/>
          <w:szCs w:val="26"/>
        </w:rPr>
        <w:t>大阪府地方独立行政法人評価委員会条例</w:t>
      </w:r>
      <w:r w:rsidR="00996340" w:rsidRPr="00663625">
        <w:rPr>
          <w:rFonts w:asciiTheme="majorEastAsia" w:eastAsiaTheme="majorEastAsia" w:hAnsiTheme="majorEastAsia" w:hint="eastAsia"/>
          <w:szCs w:val="21"/>
        </w:rPr>
        <w:t>（平成</w:t>
      </w:r>
      <w:r w:rsidR="00635021">
        <w:rPr>
          <w:rFonts w:asciiTheme="majorEastAsia" w:eastAsiaTheme="majorEastAsia" w:hAnsiTheme="majorEastAsia" w:hint="eastAsia"/>
          <w:szCs w:val="21"/>
        </w:rPr>
        <w:t>３０</w:t>
      </w:r>
      <w:r w:rsidR="00996340" w:rsidRPr="00663625">
        <w:rPr>
          <w:rFonts w:asciiTheme="majorEastAsia" w:eastAsiaTheme="majorEastAsia" w:hAnsiTheme="majorEastAsia" w:hint="eastAsia"/>
          <w:szCs w:val="21"/>
        </w:rPr>
        <w:t>年４月一部改正）</w:t>
      </w:r>
    </w:p>
    <w:p w14:paraId="13CB9DCD" w14:textId="77777777" w:rsidR="00996340" w:rsidRPr="000F7987" w:rsidRDefault="00996340">
      <w:pPr>
        <w:rPr>
          <w:rFonts w:asciiTheme="minorEastAsia" w:hAnsiTheme="minorEastAsia"/>
          <w:color w:val="000000" w:themeColor="text1"/>
        </w:rPr>
      </w:pPr>
    </w:p>
    <w:p w14:paraId="13CB9DCE"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（趣旨）</w:t>
      </w:r>
    </w:p>
    <w:p w14:paraId="13CB9DCF" w14:textId="0489DB8B" w:rsidR="00996340" w:rsidRPr="00663625" w:rsidRDefault="004538A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4538A0">
        <w:rPr>
          <w:rFonts w:asciiTheme="minorEastAsia" w:eastAsiaTheme="minorEastAsia" w:hAnsiTheme="minorEastAsia" w:cstheme="minorBidi" w:hint="eastAsia"/>
          <w:color w:val="000000" w:themeColor="text1"/>
          <w:kern w:val="24"/>
          <w:sz w:val="22"/>
          <w:szCs w:val="22"/>
        </w:rPr>
        <w:t>第一条　この条例は、地方独立行政法人法（平成十五年法律第百十八号。以下「法」という。）第十一条第二項第六号及び第四項の規定に基づき、地方独立行政法人評価委員会（以下「評価委員会」という。）の名称、所掌事務等、組織、運営並びに委員及び専門委員（以下「委員等」という。）の報酬及び費用弁償の額並びにその支給方法その他評価委員会に関し必要な事項を定めるものとする。</w:t>
      </w:r>
    </w:p>
    <w:p w14:paraId="13CB9DD0" w14:textId="77777777" w:rsidR="00996340" w:rsidRPr="00663625" w:rsidRDefault="00996340">
      <w:pPr>
        <w:rPr>
          <w:rFonts w:asciiTheme="minorEastAsia" w:hAnsiTheme="minorEastAsia"/>
          <w:color w:val="000000" w:themeColor="text1"/>
          <w:sz w:val="22"/>
        </w:rPr>
      </w:pPr>
    </w:p>
    <w:p w14:paraId="13CB9DD1" w14:textId="77777777" w:rsidR="00996340" w:rsidRPr="00663625"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（名称）</w:t>
      </w:r>
    </w:p>
    <w:p w14:paraId="13CB9DD2" w14:textId="78447A1B" w:rsidR="00996340" w:rsidRDefault="004538A0" w:rsidP="00996340">
      <w:pPr>
        <w:pStyle w:val="Web"/>
        <w:spacing w:before="0" w:beforeAutospacing="0" w:after="0" w:afterAutospacing="0" w:line="340" w:lineRule="exact"/>
        <w:ind w:left="187" w:hanging="187"/>
        <w:rPr>
          <w:rFonts w:asciiTheme="minorEastAsia" w:eastAsiaTheme="minorEastAsia" w:hAnsiTheme="minorEastAsia" w:cstheme="minorBidi"/>
          <w:color w:val="000000" w:themeColor="text1"/>
          <w:kern w:val="24"/>
          <w:sz w:val="22"/>
          <w:szCs w:val="22"/>
        </w:rPr>
      </w:pPr>
      <w:r w:rsidRPr="004538A0">
        <w:rPr>
          <w:rFonts w:asciiTheme="minorEastAsia" w:eastAsiaTheme="minorEastAsia" w:hAnsiTheme="minorEastAsia" w:cstheme="minorBidi" w:hint="eastAsia"/>
          <w:color w:val="000000" w:themeColor="text1"/>
          <w:kern w:val="24"/>
          <w:sz w:val="22"/>
          <w:szCs w:val="22"/>
        </w:rPr>
        <w:t>第二条　次の表の上欄に掲げる地方独立行政法人について法第十一条第一項の規定によりそれぞれ置かれる評価委員会の名称は、同表の下欄に定めるとおりとする。</w:t>
      </w:r>
    </w:p>
    <w:p w14:paraId="403768C4" w14:textId="77777777" w:rsidR="00294BF4" w:rsidRPr="00663625" w:rsidRDefault="00294BF4" w:rsidP="00996340">
      <w:pPr>
        <w:pStyle w:val="Web"/>
        <w:spacing w:before="0" w:beforeAutospacing="0" w:after="0" w:afterAutospacing="0" w:line="340" w:lineRule="exact"/>
        <w:ind w:left="187" w:hanging="187"/>
        <w:rPr>
          <w:rFonts w:asciiTheme="minorEastAsia" w:eastAsiaTheme="minorEastAsia" w:hAnsiTheme="minorEastAsia"/>
          <w:color w:val="000000" w:themeColor="text1"/>
          <w:sz w:val="22"/>
          <w:szCs w:val="22"/>
        </w:rPr>
      </w:pP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663625" w14:paraId="13CB9DD5" w14:textId="7777777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13CB9DD3" w14:textId="77777777" w:rsidR="00996340" w:rsidRPr="00663625" w:rsidRDefault="00996340" w:rsidP="00996340">
            <w:pPr>
              <w:widowControl/>
              <w:jc w:val="center"/>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13CB9DD4" w14:textId="77777777" w:rsidR="00996340" w:rsidRPr="00663625" w:rsidRDefault="00996340" w:rsidP="00996340">
            <w:pPr>
              <w:widowControl/>
              <w:jc w:val="center"/>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名　称</w:t>
            </w:r>
          </w:p>
        </w:tc>
      </w:tr>
      <w:tr w:rsidR="00996340" w:rsidRPr="00663625" w14:paraId="13CB9DD8" w14:textId="7777777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6"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7"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大阪府公立大学法人大阪府立大学評価委員会</w:t>
            </w:r>
          </w:p>
        </w:tc>
      </w:tr>
      <w:tr w:rsidR="00635021" w:rsidRPr="00663625" w14:paraId="0F55C772" w14:textId="77777777" w:rsidTr="004538A0">
        <w:trPr>
          <w:trHeight w:val="48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tcPr>
          <w:p w14:paraId="262F43C3" w14:textId="5F943DAE" w:rsidR="00635021" w:rsidRPr="00663625" w:rsidRDefault="004538A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公立大学法人大阪</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tcPr>
          <w:p w14:paraId="7E474602" w14:textId="1EBF5C90" w:rsidR="00635021" w:rsidRPr="00663625" w:rsidRDefault="004538A0" w:rsidP="004538A0">
            <w:pPr>
              <w:widowControl/>
              <w:jc w:val="left"/>
              <w:rPr>
                <w:rFonts w:asciiTheme="minorEastAsia" w:hAnsiTheme="minorEastAsia" w:cs="Times New Roman"/>
                <w:color w:val="000000" w:themeColor="text1"/>
                <w:sz w:val="22"/>
              </w:rPr>
            </w:pPr>
            <w:r w:rsidRPr="004538A0">
              <w:rPr>
                <w:rFonts w:asciiTheme="minorEastAsia" w:hAnsiTheme="minorEastAsia" w:cs="Times New Roman" w:hint="eastAsia"/>
                <w:color w:val="000000" w:themeColor="text1"/>
                <w:sz w:val="22"/>
              </w:rPr>
              <w:t>大阪府</w:t>
            </w:r>
            <w:r>
              <w:rPr>
                <w:rFonts w:asciiTheme="minorEastAsia" w:hAnsiTheme="minorEastAsia" w:cs="Times New Roman" w:hint="eastAsia"/>
                <w:color w:val="000000" w:themeColor="text1"/>
                <w:sz w:val="22"/>
              </w:rPr>
              <w:t>市</w:t>
            </w:r>
            <w:r w:rsidRPr="004538A0">
              <w:rPr>
                <w:rFonts w:asciiTheme="minorEastAsia" w:hAnsiTheme="minorEastAsia" w:cs="Times New Roman" w:hint="eastAsia"/>
                <w:color w:val="000000" w:themeColor="text1"/>
                <w:sz w:val="22"/>
              </w:rPr>
              <w:t>公立大学法人大阪評価委員会</w:t>
            </w:r>
          </w:p>
        </w:tc>
      </w:tr>
      <w:tr w:rsidR="00996340" w:rsidRPr="00663625" w14:paraId="13CB9DDC" w14:textId="7777777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9"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A"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DB"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大阪府立病院機構評価委員会</w:t>
            </w:r>
          </w:p>
        </w:tc>
      </w:tr>
      <w:tr w:rsidR="00996340" w:rsidRPr="00663625" w14:paraId="13CB9DE1" w14:textId="7777777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628A325" w14:textId="77777777" w:rsidR="00294BF4" w:rsidRDefault="00294BF4" w:rsidP="00996340">
            <w:pPr>
              <w:widowControl/>
              <w:jc w:val="left"/>
              <w:rPr>
                <w:rFonts w:asciiTheme="minorEastAsia" w:hAnsiTheme="minorEastAsia" w:cs="Times New Roman"/>
                <w:color w:val="000000" w:themeColor="text1"/>
                <w:sz w:val="22"/>
              </w:rPr>
            </w:pPr>
            <w:r w:rsidRPr="00294BF4">
              <w:rPr>
                <w:rFonts w:asciiTheme="minorEastAsia" w:hAnsiTheme="minorEastAsia" w:cs="Times New Roman" w:hint="eastAsia"/>
                <w:color w:val="000000" w:themeColor="text1"/>
                <w:sz w:val="22"/>
              </w:rPr>
              <w:t>地方独立行政法人</w:t>
            </w:r>
          </w:p>
          <w:p w14:paraId="13CB9DDE" w14:textId="00077DCA" w:rsidR="00996340" w:rsidRPr="00663625" w:rsidRDefault="00294BF4" w:rsidP="00996340">
            <w:pPr>
              <w:widowControl/>
              <w:jc w:val="left"/>
              <w:rPr>
                <w:rFonts w:asciiTheme="minorEastAsia" w:hAnsiTheme="minorEastAsia" w:cs="Arial"/>
                <w:color w:val="000000" w:themeColor="text1"/>
                <w:kern w:val="0"/>
                <w:sz w:val="22"/>
              </w:rPr>
            </w:pPr>
            <w:r w:rsidRPr="00294BF4">
              <w:rPr>
                <w:rFonts w:asciiTheme="minorEastAsia" w:hAnsiTheme="minorEastAsia" w:cs="Times New Roman" w:hint="eastAsia"/>
                <w:color w:val="000000" w:themeColor="text1"/>
                <w:sz w:val="22"/>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764EB69" w14:textId="77777777" w:rsidR="00294BF4" w:rsidRDefault="00294BF4" w:rsidP="00996340">
            <w:pPr>
              <w:widowControl/>
              <w:jc w:val="left"/>
              <w:rPr>
                <w:rFonts w:asciiTheme="minorEastAsia" w:hAnsiTheme="minorEastAsia" w:cs="Times New Roman"/>
                <w:color w:val="000000" w:themeColor="text1"/>
                <w:sz w:val="22"/>
              </w:rPr>
            </w:pPr>
            <w:r w:rsidRPr="00294BF4">
              <w:rPr>
                <w:rFonts w:asciiTheme="minorEastAsia" w:hAnsiTheme="minorEastAsia" w:cs="Times New Roman" w:hint="eastAsia"/>
                <w:color w:val="000000" w:themeColor="text1"/>
                <w:sz w:val="22"/>
              </w:rPr>
              <w:t>大阪府市地方独立行政法人</w:t>
            </w:r>
          </w:p>
          <w:p w14:paraId="13CB9DE0" w14:textId="75A81E1E" w:rsidR="00996340" w:rsidRPr="00663625" w:rsidRDefault="00294BF4" w:rsidP="00996340">
            <w:pPr>
              <w:widowControl/>
              <w:jc w:val="left"/>
              <w:rPr>
                <w:rFonts w:asciiTheme="minorEastAsia" w:hAnsiTheme="minorEastAsia" w:cs="Arial"/>
                <w:color w:val="000000" w:themeColor="text1"/>
                <w:kern w:val="0"/>
                <w:sz w:val="22"/>
              </w:rPr>
            </w:pPr>
            <w:r w:rsidRPr="00294BF4">
              <w:rPr>
                <w:rFonts w:asciiTheme="minorEastAsia" w:hAnsiTheme="minorEastAsia" w:cs="Times New Roman" w:hint="eastAsia"/>
                <w:color w:val="000000" w:themeColor="text1"/>
                <w:sz w:val="22"/>
              </w:rPr>
              <w:t>大阪健康安全基盤研究所評価委員会</w:t>
            </w:r>
          </w:p>
        </w:tc>
      </w:tr>
      <w:tr w:rsidR="00996340" w:rsidRPr="00663625" w14:paraId="13CB9DE6" w14:textId="7777777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2"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E3" w14:textId="038013B8" w:rsidR="00996340" w:rsidRPr="00663625" w:rsidRDefault="00294BF4" w:rsidP="00294BF4">
            <w:pPr>
              <w:widowControl/>
              <w:jc w:val="left"/>
              <w:rPr>
                <w:rFonts w:asciiTheme="minorEastAsia" w:hAnsiTheme="minorEastAsia" w:cs="Arial"/>
                <w:color w:val="000000" w:themeColor="text1"/>
                <w:kern w:val="0"/>
                <w:sz w:val="22"/>
              </w:rPr>
            </w:pPr>
            <w:r>
              <w:rPr>
                <w:rFonts w:asciiTheme="minorEastAsia" w:hAnsiTheme="minorEastAsia" w:cs="Times New Roman" w:hint="eastAsia"/>
                <w:color w:val="000000" w:themeColor="text1"/>
                <w:sz w:val="22"/>
              </w:rPr>
              <w:t>大阪</w:t>
            </w:r>
            <w:r w:rsidR="00996340" w:rsidRPr="00663625">
              <w:rPr>
                <w:rFonts w:asciiTheme="minorEastAsia" w:hAnsiTheme="minorEastAsia" w:cs="Times New Roman" w:hint="eastAsia"/>
                <w:color w:val="000000" w:themeColor="text1"/>
                <w:sz w:val="22"/>
              </w:rPr>
              <w:t>産業技術研究所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411AA17F" w14:textId="77777777" w:rsidR="00294BF4" w:rsidRDefault="00294BF4" w:rsidP="00294BF4">
            <w:pPr>
              <w:widowControl/>
              <w:jc w:val="left"/>
              <w:rPr>
                <w:rFonts w:asciiTheme="minorEastAsia" w:hAnsiTheme="minorEastAsia" w:cs="Times New Roman"/>
                <w:color w:val="000000" w:themeColor="text1"/>
                <w:sz w:val="22"/>
              </w:rPr>
            </w:pPr>
            <w:r w:rsidRPr="00294BF4">
              <w:rPr>
                <w:rFonts w:asciiTheme="minorEastAsia" w:hAnsiTheme="minorEastAsia" w:cs="Times New Roman" w:hint="eastAsia"/>
                <w:color w:val="000000" w:themeColor="text1"/>
                <w:sz w:val="22"/>
              </w:rPr>
              <w:t>大阪府市地方独立行政法人</w:t>
            </w:r>
          </w:p>
          <w:p w14:paraId="13CB9DE5" w14:textId="35B25BAE" w:rsidR="00996340" w:rsidRPr="00663625" w:rsidRDefault="00294BF4" w:rsidP="00294BF4">
            <w:pPr>
              <w:widowControl/>
              <w:jc w:val="left"/>
              <w:rPr>
                <w:rFonts w:asciiTheme="minorEastAsia" w:hAnsiTheme="minorEastAsia" w:cs="Arial"/>
                <w:color w:val="000000" w:themeColor="text1"/>
                <w:kern w:val="0"/>
                <w:sz w:val="22"/>
              </w:rPr>
            </w:pPr>
            <w:r w:rsidRPr="00294BF4">
              <w:rPr>
                <w:rFonts w:asciiTheme="minorEastAsia" w:hAnsiTheme="minorEastAsia" w:cs="Times New Roman" w:hint="eastAsia"/>
                <w:color w:val="000000" w:themeColor="text1"/>
                <w:sz w:val="22"/>
              </w:rPr>
              <w:t>大阪産業技術研究所評価委員会</w:t>
            </w:r>
          </w:p>
        </w:tc>
      </w:tr>
      <w:tr w:rsidR="00996340" w:rsidRPr="00663625" w14:paraId="13CB9DEB" w14:textId="7777777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7"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E8"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9"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EA"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大阪府立環境農林水産総合研究所評価委員会</w:t>
            </w:r>
          </w:p>
        </w:tc>
      </w:tr>
    </w:tbl>
    <w:p w14:paraId="13CB9DEC" w14:textId="77777777" w:rsidR="00996340" w:rsidRDefault="00996340">
      <w:pPr>
        <w:rPr>
          <w:rFonts w:asciiTheme="minorEastAsia" w:hAnsiTheme="minorEastAsia"/>
          <w:color w:val="000000" w:themeColor="text1"/>
          <w:sz w:val="22"/>
        </w:rPr>
      </w:pPr>
    </w:p>
    <w:p w14:paraId="6BEE3428" w14:textId="77777777" w:rsidR="004538A0" w:rsidRPr="004538A0" w:rsidRDefault="004538A0" w:rsidP="004538A0">
      <w:pPr>
        <w:rPr>
          <w:rFonts w:asciiTheme="minorEastAsia" w:hAnsiTheme="minorEastAsia"/>
          <w:color w:val="000000" w:themeColor="text1"/>
          <w:sz w:val="22"/>
        </w:rPr>
      </w:pPr>
      <w:r w:rsidRPr="004538A0">
        <w:rPr>
          <w:rFonts w:asciiTheme="minorEastAsia" w:hAnsiTheme="minorEastAsia" w:hint="eastAsia"/>
          <w:color w:val="000000" w:themeColor="text1"/>
          <w:sz w:val="22"/>
        </w:rPr>
        <w:t>（所掌事務等）</w:t>
      </w:r>
    </w:p>
    <w:p w14:paraId="2C53E2E3" w14:textId="77777777" w:rsidR="004538A0" w:rsidRPr="004538A0" w:rsidRDefault="004538A0" w:rsidP="00EE58C1">
      <w:pPr>
        <w:ind w:left="220" w:hangingChars="100" w:hanging="220"/>
        <w:rPr>
          <w:rFonts w:asciiTheme="minorEastAsia" w:hAnsiTheme="minorEastAsia"/>
          <w:color w:val="000000" w:themeColor="text1"/>
          <w:sz w:val="22"/>
        </w:rPr>
      </w:pPr>
      <w:r w:rsidRPr="004538A0">
        <w:rPr>
          <w:rFonts w:asciiTheme="minorEastAsia" w:hAnsiTheme="minorEastAsia" w:hint="eastAsia"/>
          <w:color w:val="000000" w:themeColor="text1"/>
          <w:sz w:val="22"/>
        </w:rPr>
        <w:t>第三条　評価委員会（大阪府公立大学法人大阪府立大学評価委員会を除く。次項において同じ。）は、法の規定によりその権限に属させられた事項を処理するほか、法第二十八条第一項（同項第二号に規定する中期目標の期間の終了時に見込まれる中期目標の期間における業務の実績に関する部分を除く。）の規定により知事が評価を行う場合における知事への意見の申述をつかさどる。</w:t>
      </w:r>
    </w:p>
    <w:p w14:paraId="0B580147" w14:textId="2933D7C9" w:rsidR="004538A0" w:rsidRDefault="004538A0" w:rsidP="004538A0">
      <w:pPr>
        <w:rPr>
          <w:rFonts w:asciiTheme="minorEastAsia" w:hAnsiTheme="minorEastAsia"/>
          <w:color w:val="000000" w:themeColor="text1"/>
          <w:sz w:val="22"/>
        </w:rPr>
      </w:pPr>
      <w:r w:rsidRPr="004538A0">
        <w:rPr>
          <w:rFonts w:asciiTheme="minorEastAsia" w:hAnsiTheme="minorEastAsia" w:hint="eastAsia"/>
          <w:color w:val="000000" w:themeColor="text1"/>
          <w:sz w:val="22"/>
        </w:rPr>
        <w:lastRenderedPageBreak/>
        <w:t>２　評価委員会は、前項の意見を述べたときは、その内容を公表しなければならない。</w:t>
      </w:r>
    </w:p>
    <w:p w14:paraId="4A35ACED" w14:textId="77777777" w:rsidR="004538A0" w:rsidRPr="00663625" w:rsidRDefault="004538A0">
      <w:pPr>
        <w:rPr>
          <w:rFonts w:asciiTheme="minorEastAsia" w:hAnsiTheme="minorEastAsia"/>
          <w:color w:val="000000" w:themeColor="text1"/>
          <w:sz w:val="22"/>
        </w:rPr>
      </w:pPr>
    </w:p>
    <w:p w14:paraId="13CB9DED"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（組織）</w:t>
      </w:r>
    </w:p>
    <w:p w14:paraId="13CB9DEE" w14:textId="1217808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w:t>
      </w:r>
      <w:r w:rsidR="004538A0">
        <w:rPr>
          <w:rFonts w:asciiTheme="minorEastAsia" w:eastAsiaTheme="minorEastAsia" w:hAnsiTheme="minorEastAsia" w:cstheme="minorBidi" w:hint="eastAsia"/>
          <w:color w:val="000000" w:themeColor="text1"/>
          <w:kern w:val="24"/>
          <w:sz w:val="22"/>
          <w:szCs w:val="22"/>
        </w:rPr>
        <w:t>四</w:t>
      </w:r>
      <w:r w:rsidRPr="00663625">
        <w:rPr>
          <w:rFonts w:asciiTheme="minorEastAsia" w:eastAsiaTheme="minorEastAsia" w:hAnsiTheme="minorEastAsia" w:cstheme="minorBidi" w:hint="eastAsia"/>
          <w:color w:val="000000" w:themeColor="text1"/>
          <w:kern w:val="24"/>
          <w:sz w:val="22"/>
          <w:szCs w:val="22"/>
        </w:rPr>
        <w:t>条　評価委員会は、それぞれ委員七人以内で組織する。</w:t>
      </w:r>
    </w:p>
    <w:p w14:paraId="13CB9DEF" w14:textId="3970141E"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２　委員は、学識経験のある者その他適当と認める者のうちから、知事が任命する。</w:t>
      </w:r>
    </w:p>
    <w:p w14:paraId="13CB9DF0"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３　委員の任期は、二年とする。ただし、補欠の委員の任期は、前任者の残任期間とする。</w:t>
      </w:r>
    </w:p>
    <w:p w14:paraId="418DC550" w14:textId="77777777" w:rsidR="00997C80" w:rsidRPr="00663625" w:rsidRDefault="00997C80">
      <w:pPr>
        <w:rPr>
          <w:rFonts w:asciiTheme="minorEastAsia" w:hAnsiTheme="minorEastAsia"/>
          <w:color w:val="000000" w:themeColor="text1"/>
          <w:sz w:val="22"/>
        </w:rPr>
      </w:pPr>
    </w:p>
    <w:p w14:paraId="13CB9DF2"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（専門委員）</w:t>
      </w:r>
    </w:p>
    <w:p w14:paraId="13CB9DF3" w14:textId="0A5A9B0E"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w:t>
      </w:r>
      <w:r w:rsidR="004538A0">
        <w:rPr>
          <w:rFonts w:asciiTheme="minorEastAsia" w:eastAsiaTheme="minorEastAsia" w:hAnsiTheme="minorEastAsia" w:cstheme="minorBidi" w:hint="eastAsia"/>
          <w:color w:val="000000" w:themeColor="text1"/>
          <w:kern w:val="24"/>
          <w:sz w:val="22"/>
          <w:szCs w:val="22"/>
        </w:rPr>
        <w:t>五</w:t>
      </w:r>
      <w:r w:rsidRPr="00663625">
        <w:rPr>
          <w:rFonts w:asciiTheme="minorEastAsia" w:eastAsiaTheme="minorEastAsia" w:hAnsiTheme="minorEastAsia" w:cstheme="minorBidi" w:hint="eastAsia"/>
          <w:color w:val="000000" w:themeColor="text1"/>
          <w:kern w:val="24"/>
          <w:sz w:val="22"/>
          <w:szCs w:val="22"/>
        </w:rPr>
        <w:t>条　評価委員会に、専門の事項を調査審議させるため必要があるときは、それぞれ専門委員若干人を置くことができる。</w:t>
      </w:r>
    </w:p>
    <w:p w14:paraId="13CB9DF4" w14:textId="7AF91B00"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２　専門委員は、学識経験のある者その他適当と認める者のうちから、知事が任命する。</w:t>
      </w:r>
    </w:p>
    <w:p w14:paraId="13CB9DF5"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３　専門委員は、当該専門の事項に関する調査審議が終了したときは、解任されるものとする。</w:t>
      </w:r>
    </w:p>
    <w:p w14:paraId="13CB9DF6" w14:textId="77777777" w:rsidR="00996340" w:rsidRPr="00663625" w:rsidRDefault="00996340">
      <w:pPr>
        <w:rPr>
          <w:rFonts w:asciiTheme="minorEastAsia" w:hAnsiTheme="minorEastAsia"/>
          <w:color w:val="000000" w:themeColor="text1"/>
          <w:sz w:val="22"/>
        </w:rPr>
      </w:pPr>
    </w:p>
    <w:p w14:paraId="13CB9DF7"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（委員長）</w:t>
      </w:r>
    </w:p>
    <w:p w14:paraId="13CB9DF8" w14:textId="5E5E7E3D"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w:t>
      </w:r>
      <w:r w:rsidR="004538A0">
        <w:rPr>
          <w:rFonts w:asciiTheme="minorEastAsia" w:hAnsiTheme="minorEastAsia" w:hint="eastAsia"/>
          <w:color w:val="000000" w:themeColor="text1"/>
          <w:kern w:val="24"/>
          <w:sz w:val="22"/>
        </w:rPr>
        <w:t>六</w:t>
      </w:r>
      <w:r w:rsidRPr="00663625">
        <w:rPr>
          <w:rFonts w:asciiTheme="minorEastAsia" w:hAnsiTheme="minorEastAsia" w:hint="eastAsia"/>
          <w:color w:val="000000" w:themeColor="text1"/>
          <w:kern w:val="24"/>
          <w:sz w:val="22"/>
        </w:rPr>
        <w:t>条　評価委員会にそれぞれ委員長を置き、委員の互選によってこれを定める。</w:t>
      </w:r>
    </w:p>
    <w:p w14:paraId="13CB9DF9"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委員長は、会務を総理し、評価委員会を代表する。</w:t>
      </w:r>
    </w:p>
    <w:p w14:paraId="13CB9DFA"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３　委員長に事故があるとき又は委員長が欠けたときは、委員長があらかじめ指名する委員が、その職務を代理する。</w:t>
      </w:r>
    </w:p>
    <w:p w14:paraId="13CB9DFB" w14:textId="77777777" w:rsidR="00996340" w:rsidRPr="00663625" w:rsidRDefault="00996340">
      <w:pPr>
        <w:rPr>
          <w:rFonts w:asciiTheme="minorEastAsia" w:hAnsiTheme="minorEastAsia"/>
          <w:color w:val="000000" w:themeColor="text1"/>
          <w:sz w:val="22"/>
        </w:rPr>
      </w:pPr>
    </w:p>
    <w:p w14:paraId="13CB9DFC"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（会議）</w:t>
      </w:r>
    </w:p>
    <w:p w14:paraId="13CB9DFD" w14:textId="515FECE8" w:rsidR="00996340" w:rsidRPr="00663625" w:rsidRDefault="00996340" w:rsidP="00996340">
      <w:pPr>
        <w:widowControl/>
        <w:spacing w:line="320" w:lineRule="exact"/>
        <w:ind w:left="187" w:hanging="187"/>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w:t>
      </w:r>
      <w:r w:rsidR="004538A0">
        <w:rPr>
          <w:rFonts w:asciiTheme="minorEastAsia" w:hAnsiTheme="minorEastAsia" w:hint="eastAsia"/>
          <w:color w:val="000000" w:themeColor="text1"/>
          <w:kern w:val="24"/>
          <w:sz w:val="22"/>
        </w:rPr>
        <w:t>七</w:t>
      </w:r>
      <w:r w:rsidRPr="00663625">
        <w:rPr>
          <w:rFonts w:asciiTheme="minorEastAsia" w:hAnsiTheme="minorEastAsia" w:hint="eastAsia"/>
          <w:color w:val="000000" w:themeColor="text1"/>
          <w:kern w:val="24"/>
          <w:sz w:val="22"/>
        </w:rPr>
        <w:t>条　評価委員会の会議は、委員長が招集し、委員長がその議長となる。</w:t>
      </w:r>
    </w:p>
    <w:p w14:paraId="13CB9DFE" w14:textId="77777777" w:rsidR="00996340" w:rsidRPr="00663625" w:rsidRDefault="00996340" w:rsidP="00996340">
      <w:pPr>
        <w:widowControl/>
        <w:spacing w:line="320" w:lineRule="exact"/>
        <w:ind w:left="187" w:hanging="187"/>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評価委員会は、委員の過半数が出席しなければ会議を開くことができない。</w:t>
      </w:r>
    </w:p>
    <w:p w14:paraId="13CB9DFF"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３　評価委員会の議事は、出席委員の過半数で決し、可否同数のときは、委員長の決するところによる。</w:t>
      </w:r>
    </w:p>
    <w:p w14:paraId="13CB9E00" w14:textId="77777777" w:rsidR="00996340" w:rsidRPr="00663625" w:rsidRDefault="00996340">
      <w:pPr>
        <w:rPr>
          <w:rFonts w:asciiTheme="minorEastAsia" w:hAnsiTheme="minorEastAsia"/>
          <w:color w:val="000000" w:themeColor="text1"/>
          <w:sz w:val="22"/>
        </w:rPr>
      </w:pPr>
    </w:p>
    <w:p w14:paraId="13CB9E01"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color w:val="000000" w:themeColor="text1"/>
          <w:kern w:val="24"/>
          <w:sz w:val="22"/>
        </w:rPr>
        <w:t>(</w:t>
      </w:r>
      <w:r w:rsidRPr="00663625">
        <w:rPr>
          <w:rFonts w:asciiTheme="minorEastAsia" w:hAnsiTheme="minorEastAsia" w:hint="eastAsia"/>
          <w:color w:val="000000" w:themeColor="text1"/>
          <w:kern w:val="24"/>
          <w:sz w:val="22"/>
        </w:rPr>
        <w:t>部会</w:t>
      </w:r>
      <w:r w:rsidRPr="00663625">
        <w:rPr>
          <w:rFonts w:asciiTheme="minorEastAsia" w:hAnsiTheme="minorEastAsia"/>
          <w:color w:val="000000" w:themeColor="text1"/>
          <w:kern w:val="24"/>
          <w:sz w:val="22"/>
        </w:rPr>
        <w:t>)</w:t>
      </w:r>
    </w:p>
    <w:p w14:paraId="13CB9E02" w14:textId="405F6B05" w:rsidR="00996340" w:rsidRPr="00663625" w:rsidRDefault="00996340" w:rsidP="00996340">
      <w:pPr>
        <w:widowControl/>
        <w:spacing w:line="320" w:lineRule="exact"/>
        <w:ind w:left="130" w:hanging="1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w:t>
      </w:r>
      <w:r w:rsidR="004538A0">
        <w:rPr>
          <w:rFonts w:asciiTheme="minorEastAsia" w:hAnsiTheme="minorEastAsia" w:hint="eastAsia"/>
          <w:color w:val="000000" w:themeColor="text1"/>
          <w:kern w:val="24"/>
          <w:sz w:val="22"/>
        </w:rPr>
        <w:t>八</w:t>
      </w:r>
      <w:r w:rsidRPr="00663625">
        <w:rPr>
          <w:rFonts w:asciiTheme="minorEastAsia" w:hAnsiTheme="minorEastAsia" w:hint="eastAsia"/>
          <w:color w:val="000000" w:themeColor="text1"/>
          <w:kern w:val="24"/>
          <w:sz w:val="22"/>
        </w:rPr>
        <w:t>条　評価委員会に、必要に応じそれぞれ部会を置くことができる。</w:t>
      </w:r>
    </w:p>
    <w:p w14:paraId="13CB9E03"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部会に属する委員等は、委員長が指名する。</w:t>
      </w:r>
    </w:p>
    <w:p w14:paraId="13CB9E04"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３　部会に部会長を置き、委員長が指名する委員がこれに当たる。</w:t>
      </w:r>
    </w:p>
    <w:p w14:paraId="13CB9E05"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４　部会長は、部会の会務を掌理し、部会における審議の状況及び結果を評価委員会に報告する。</w:t>
      </w:r>
    </w:p>
    <w:p w14:paraId="13CB9E06"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５　前条の規定にかかわらず、評価委員会は、その定めるところにより、部会の決議をもって評価委員会の決議とすることができる。</w:t>
      </w:r>
    </w:p>
    <w:p w14:paraId="13CB9E07" w14:textId="77777777" w:rsidR="00996340" w:rsidRPr="00663625" w:rsidRDefault="00996340">
      <w:pPr>
        <w:rPr>
          <w:rFonts w:asciiTheme="minorEastAsia" w:hAnsiTheme="minorEastAsia"/>
          <w:color w:val="000000" w:themeColor="text1"/>
          <w:sz w:val="22"/>
        </w:rPr>
      </w:pPr>
    </w:p>
    <w:p w14:paraId="13CB9E08"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lastRenderedPageBreak/>
        <w:t>（報酬）</w:t>
      </w:r>
    </w:p>
    <w:p w14:paraId="13CB9E09" w14:textId="52E80196"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w:t>
      </w:r>
      <w:r w:rsidR="004538A0">
        <w:rPr>
          <w:rFonts w:asciiTheme="minorEastAsia" w:eastAsiaTheme="minorEastAsia" w:hAnsiTheme="minorEastAsia" w:cstheme="minorBidi" w:hint="eastAsia"/>
          <w:color w:val="000000" w:themeColor="text1"/>
          <w:kern w:val="24"/>
          <w:sz w:val="22"/>
          <w:szCs w:val="22"/>
        </w:rPr>
        <w:t>九</w:t>
      </w:r>
      <w:r w:rsidRPr="00663625">
        <w:rPr>
          <w:rFonts w:asciiTheme="minorEastAsia" w:eastAsiaTheme="minorEastAsia" w:hAnsiTheme="minorEastAsia" w:cstheme="minorBidi" w:hint="eastAsia"/>
          <w:color w:val="000000" w:themeColor="text1"/>
          <w:kern w:val="24"/>
          <w:sz w:val="22"/>
          <w:szCs w:val="22"/>
        </w:rPr>
        <w:t>条　委員等の報酬の額は、日額九千</w:t>
      </w:r>
      <w:r w:rsidR="00927B78">
        <w:rPr>
          <w:rFonts w:asciiTheme="minorEastAsia" w:eastAsiaTheme="minorEastAsia" w:hAnsiTheme="minorEastAsia" w:cstheme="minorBidi" w:hint="eastAsia"/>
          <w:color w:val="000000" w:themeColor="text1"/>
          <w:kern w:val="24"/>
          <w:sz w:val="22"/>
          <w:szCs w:val="22"/>
        </w:rPr>
        <w:t>八</w:t>
      </w:r>
      <w:r w:rsidRPr="00663625">
        <w:rPr>
          <w:rFonts w:asciiTheme="minorEastAsia" w:eastAsiaTheme="minorEastAsia" w:hAnsiTheme="minorEastAsia" w:cstheme="minorBidi" w:hint="eastAsia"/>
          <w:color w:val="000000" w:themeColor="text1"/>
          <w:kern w:val="24"/>
          <w:sz w:val="22"/>
          <w:szCs w:val="22"/>
        </w:rPr>
        <w:t>百円とする。</w:t>
      </w:r>
    </w:p>
    <w:p w14:paraId="13CB9E0A"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２　前項の報酬は、出席日数に応じて、その都度支給する。</w:t>
      </w:r>
    </w:p>
    <w:p w14:paraId="76D760B5" w14:textId="2991B5FA" w:rsidR="00997C80" w:rsidRPr="004538A0" w:rsidRDefault="00996340" w:rsidP="004538A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委員等のうち府の経済に属する常勤の職員である者に対しては、報酬を支給しない。</w:t>
      </w:r>
    </w:p>
    <w:p w14:paraId="7F557C28" w14:textId="77777777" w:rsidR="00295DFA" w:rsidRPr="00663625" w:rsidRDefault="00295DFA">
      <w:pPr>
        <w:rPr>
          <w:rFonts w:asciiTheme="minorEastAsia" w:hAnsiTheme="minorEastAsia"/>
          <w:color w:val="000000" w:themeColor="text1"/>
          <w:sz w:val="22"/>
        </w:rPr>
      </w:pPr>
    </w:p>
    <w:p w14:paraId="13CB9E0D" w14:textId="77777777" w:rsidR="00996340" w:rsidRPr="00663625" w:rsidRDefault="00996340" w:rsidP="00996340">
      <w:pPr>
        <w:pStyle w:val="Web"/>
        <w:spacing w:before="0" w:beforeAutospacing="0" w:after="0" w:afterAutospacing="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（費用弁償）</w:t>
      </w:r>
    </w:p>
    <w:p w14:paraId="13CB9E0E" w14:textId="344F8AC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w:t>
      </w:r>
      <w:r w:rsidR="004538A0">
        <w:rPr>
          <w:rFonts w:asciiTheme="minorEastAsia" w:eastAsiaTheme="minorEastAsia" w:hAnsiTheme="minorEastAsia" w:cstheme="minorBidi" w:hint="eastAsia"/>
          <w:color w:val="000000" w:themeColor="text1"/>
          <w:kern w:val="24"/>
          <w:sz w:val="22"/>
          <w:szCs w:val="22"/>
        </w:rPr>
        <w:t>十</w:t>
      </w:r>
      <w:r w:rsidRPr="00663625">
        <w:rPr>
          <w:rFonts w:asciiTheme="minorEastAsia" w:eastAsiaTheme="minorEastAsia" w:hAnsiTheme="minorEastAsia" w:cstheme="minorBidi" w:hint="eastAsia"/>
          <w:color w:val="000000" w:themeColor="text1"/>
          <w:kern w:val="24"/>
          <w:sz w:val="22"/>
          <w:szCs w:val="22"/>
        </w:rPr>
        <w:t>条　委員等の費用弁償の額は、職員の旅費に関する条例</w:t>
      </w:r>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昭和四十年大阪府条例第三十七号</w:t>
      </w:r>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による指定職等の職務にある者以外の者の額相当額とする。</w:t>
      </w:r>
    </w:p>
    <w:p w14:paraId="13CB9E0F"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２　前項の費用弁償の支給についての路程は、住所地の市町村から起算する。</w:t>
      </w:r>
    </w:p>
    <w:p w14:paraId="13CB9E10"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前二項の規定にかかわらず、委員等のうち府の経済に属する常勤の職員である者の費用弁償の額は、その者が当該職員として公務のため旅行した場合に支給される旅費相当額とする。</w:t>
      </w:r>
    </w:p>
    <w:p w14:paraId="13CB9E11" w14:textId="77777777" w:rsidR="00996340" w:rsidRPr="00663625" w:rsidRDefault="00996340">
      <w:pPr>
        <w:rPr>
          <w:rFonts w:asciiTheme="minorEastAsia" w:hAnsiTheme="minorEastAsia"/>
          <w:color w:val="000000" w:themeColor="text1"/>
          <w:sz w:val="22"/>
        </w:rPr>
      </w:pPr>
    </w:p>
    <w:p w14:paraId="13CB9E12"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（支給方法）</w:t>
      </w:r>
    </w:p>
    <w:p w14:paraId="13CB9E13" w14:textId="027840E0" w:rsidR="00996340" w:rsidRPr="00663625" w:rsidRDefault="00996340" w:rsidP="00996340">
      <w:pPr>
        <w:pStyle w:val="Web"/>
        <w:spacing w:before="0" w:beforeAutospacing="0" w:after="0" w:afterAutospacing="0" w:line="340" w:lineRule="exact"/>
        <w:ind w:left="130" w:hanging="1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第十</w:t>
      </w:r>
      <w:r w:rsidR="004538A0">
        <w:rPr>
          <w:rFonts w:asciiTheme="minorEastAsia" w:eastAsiaTheme="minorEastAsia" w:hAnsiTheme="minorEastAsia" w:cstheme="minorBidi" w:hint="eastAsia"/>
          <w:color w:val="000000" w:themeColor="text1"/>
          <w:kern w:val="24"/>
          <w:sz w:val="22"/>
          <w:szCs w:val="22"/>
        </w:rPr>
        <w:t>一</w:t>
      </w:r>
      <w:r w:rsidRPr="00663625">
        <w:rPr>
          <w:rFonts w:asciiTheme="minorEastAsia" w:eastAsiaTheme="minorEastAsia" w:hAnsiTheme="minorEastAsia" w:cstheme="minorBidi" w:hint="eastAsia"/>
          <w:color w:val="000000" w:themeColor="text1"/>
          <w:kern w:val="24"/>
          <w:sz w:val="22"/>
          <w:szCs w:val="22"/>
        </w:rPr>
        <w:t>条　委員等の報酬及び費用弁償の支給方法に関し、この条例に定めがない事項については、常勤の職員の例による。</w:t>
      </w:r>
    </w:p>
    <w:p w14:paraId="13CB9E14" w14:textId="77777777" w:rsidR="00996340" w:rsidRPr="00663625" w:rsidRDefault="00996340">
      <w:pPr>
        <w:rPr>
          <w:rFonts w:asciiTheme="minorEastAsia" w:hAnsiTheme="minorEastAsia"/>
          <w:color w:val="000000" w:themeColor="text1"/>
          <w:sz w:val="22"/>
        </w:rPr>
      </w:pPr>
    </w:p>
    <w:p w14:paraId="13CB9E15"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sz w:val="22"/>
          <w:szCs w:val="22"/>
        </w:rPr>
      </w:pPr>
      <w:r w:rsidRPr="00663625">
        <w:rPr>
          <w:rFonts w:asciiTheme="minorEastAsia" w:eastAsiaTheme="minorEastAsia" w:hAnsiTheme="minorEastAsia" w:cstheme="minorBidi"/>
          <w:color w:val="000000" w:themeColor="text1"/>
          <w:kern w:val="24"/>
          <w:sz w:val="22"/>
          <w:szCs w:val="22"/>
        </w:rPr>
        <w:t>（委任）</w:t>
      </w:r>
    </w:p>
    <w:p w14:paraId="13CB9E16" w14:textId="08C52E49"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第十</w:t>
      </w:r>
      <w:r w:rsidR="004538A0">
        <w:rPr>
          <w:rFonts w:asciiTheme="minorEastAsia" w:eastAsiaTheme="minorEastAsia" w:hAnsiTheme="minorEastAsia" w:cstheme="minorBidi" w:hint="eastAsia"/>
          <w:color w:val="000000" w:themeColor="text1"/>
          <w:kern w:val="24"/>
          <w:sz w:val="22"/>
          <w:szCs w:val="22"/>
        </w:rPr>
        <w:t>二</w:t>
      </w:r>
      <w:r w:rsidRPr="00663625">
        <w:rPr>
          <w:rFonts w:asciiTheme="minorEastAsia" w:eastAsiaTheme="minorEastAsia" w:hAnsiTheme="minorEastAsia" w:cstheme="minorBidi" w:hint="eastAsia"/>
          <w:color w:val="000000" w:themeColor="text1"/>
          <w:kern w:val="24"/>
          <w:sz w:val="22"/>
          <w:szCs w:val="22"/>
        </w:rPr>
        <w:t>条　この条例に定めるもののほか、評価委員会の運営に関し必要な事項は、委員長が評価委員会に諮って定める。</w:t>
      </w:r>
    </w:p>
    <w:p w14:paraId="13CB9E18" w14:textId="77777777" w:rsidR="00996340" w:rsidRPr="00663625" w:rsidRDefault="00996340">
      <w:pPr>
        <w:rPr>
          <w:rFonts w:asciiTheme="minorEastAsia" w:hAnsiTheme="minorEastAsia"/>
          <w:color w:val="000000" w:themeColor="text1"/>
          <w:sz w:val="22"/>
        </w:rPr>
      </w:pPr>
    </w:p>
    <w:sectPr w:rsidR="00996340" w:rsidRPr="00663625" w:rsidSect="00367FC0">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B9E5C" w14:textId="77777777" w:rsidR="004B32C4" w:rsidRDefault="004B32C4" w:rsidP="000F7987">
      <w:r>
        <w:separator/>
      </w:r>
    </w:p>
  </w:endnote>
  <w:endnote w:type="continuationSeparator" w:id="0">
    <w:p w14:paraId="13CB9E5D" w14:textId="77777777"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B9E5A" w14:textId="77777777" w:rsidR="004B32C4" w:rsidRDefault="004B32C4" w:rsidP="000F7987">
      <w:r>
        <w:separator/>
      </w:r>
    </w:p>
  </w:footnote>
  <w:footnote w:type="continuationSeparator" w:id="0">
    <w:p w14:paraId="13CB9E5B" w14:textId="77777777"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clean"/>
  <w:defaultTabStop w:val="840"/>
  <w:drawingGridHorizontalSpacing w:val="105"/>
  <w:drawingGridVerticalSpacing w:val="44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112C15"/>
    <w:rsid w:val="0020584D"/>
    <w:rsid w:val="00294BF4"/>
    <w:rsid w:val="00295DFA"/>
    <w:rsid w:val="002C3858"/>
    <w:rsid w:val="00367FC0"/>
    <w:rsid w:val="004538A0"/>
    <w:rsid w:val="004559FD"/>
    <w:rsid w:val="004B32C4"/>
    <w:rsid w:val="00635021"/>
    <w:rsid w:val="00663625"/>
    <w:rsid w:val="006D2400"/>
    <w:rsid w:val="0072573F"/>
    <w:rsid w:val="00927B78"/>
    <w:rsid w:val="00996340"/>
    <w:rsid w:val="00997C80"/>
    <w:rsid w:val="00B80578"/>
    <w:rsid w:val="00BD1586"/>
    <w:rsid w:val="00C274EC"/>
    <w:rsid w:val="00C950F8"/>
    <w:rsid w:val="00EE58C1"/>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CB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BF7EC-F668-47E9-AC99-E82DD0BA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64734F-6727-4252-BE52-E491BD984B1F}">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84B29F02-876B-4FBF-B5E5-E0700D042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3</cp:revision>
  <dcterms:created xsi:type="dcterms:W3CDTF">2018-07-11T01:06:00Z</dcterms:created>
  <dcterms:modified xsi:type="dcterms:W3CDTF">2018-07-11T04:26:00Z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