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93" w:rsidRPr="002665EA" w:rsidRDefault="00FD686D" w:rsidP="003A2893">
      <w:pPr>
        <w:spacing w:line="360" w:lineRule="exact"/>
        <w:rPr>
          <w:rFonts w:ascii="メイリオ" w:eastAsia="メイリオ" w:hAnsi="メイリオ" w:cs="メイリオ"/>
          <w:position w:val="2"/>
          <w:sz w:val="22"/>
        </w:rPr>
      </w:pPr>
      <w:r w:rsidRPr="00FD686D">
        <w:rPr>
          <w:rFonts w:ascii="メイリオ" w:eastAsia="メイリオ" w:hAnsi="メイリオ" w:cs="メイリオ"/>
          <w:noProof/>
          <w:position w:val="2"/>
          <w:sz w:val="22"/>
        </w:rPr>
        <mc:AlternateContent>
          <mc:Choice Requires="wps">
            <w:drawing>
              <wp:anchor distT="0" distB="0" distL="114300" distR="114300" simplePos="0" relativeHeight="251660288" behindDoc="0" locked="0" layoutInCell="1" allowOverlap="1" wp14:editId="36B11C9B">
                <wp:simplePos x="0" y="0"/>
                <wp:positionH relativeFrom="column">
                  <wp:posOffset>7674551</wp:posOffset>
                </wp:positionH>
                <wp:positionV relativeFrom="paragraph">
                  <wp:posOffset>-85061</wp:posOffset>
                </wp:positionV>
                <wp:extent cx="825603" cy="1403985"/>
                <wp:effectExtent l="0" t="0" r="127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603" cy="1403985"/>
                        </a:xfrm>
                        <a:prstGeom prst="rect">
                          <a:avLst/>
                        </a:prstGeom>
                        <a:solidFill>
                          <a:srgbClr val="FFFFFF"/>
                        </a:solidFill>
                        <a:ln w="9525">
                          <a:solidFill>
                            <a:srgbClr val="000000"/>
                          </a:solidFill>
                          <a:miter lim="800000"/>
                          <a:headEnd/>
                          <a:tailEnd/>
                        </a:ln>
                      </wps:spPr>
                      <wps:txbx>
                        <w:txbxContent>
                          <w:p w:rsidR="00FD686D" w:rsidRPr="00FD686D" w:rsidRDefault="00FD686D" w:rsidP="00FD686D">
                            <w:pPr>
                              <w:jc w:val="center"/>
                              <w:rPr>
                                <w:rFonts w:asciiTheme="majorEastAsia" w:eastAsiaTheme="majorEastAsia" w:hAnsiTheme="majorEastAsia"/>
                                <w:sz w:val="24"/>
                                <w:szCs w:val="24"/>
                              </w:rPr>
                            </w:pPr>
                            <w:r w:rsidRPr="00FD686D">
                              <w:rPr>
                                <w:rFonts w:asciiTheme="majorEastAsia" w:eastAsiaTheme="majorEastAsia" w:hAnsiTheme="majorEastAsia" w:hint="eastAsia"/>
                                <w:sz w:val="24"/>
                                <w:szCs w:val="24"/>
                              </w:rPr>
                              <w:t>資料４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04.3pt;margin-top:-6.7pt;width: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BWRAIAAFc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">
                <v:textbox style="mso-fit-shape-to-text:t">
                  <w:txbxContent>
                    <w:p w:rsidR="00FD686D" w:rsidRPr="00FD686D" w:rsidRDefault="00FD686D" w:rsidP="00FD686D">
                      <w:pPr>
                        <w:jc w:val="center"/>
                        <w:rPr>
                          <w:rFonts w:asciiTheme="majorEastAsia" w:eastAsiaTheme="majorEastAsia" w:hAnsiTheme="majorEastAsia"/>
                          <w:sz w:val="24"/>
                          <w:szCs w:val="24"/>
                        </w:rPr>
                      </w:pPr>
                      <w:r w:rsidRPr="00FD686D">
                        <w:rPr>
                          <w:rFonts w:asciiTheme="majorEastAsia" w:eastAsiaTheme="majorEastAsia" w:hAnsiTheme="majorEastAsia" w:hint="eastAsia"/>
                          <w:sz w:val="24"/>
                          <w:szCs w:val="24"/>
                        </w:rPr>
                        <w:t>資料４</w:t>
                      </w:r>
                    </w:p>
                  </w:txbxContent>
                </v:textbox>
              </v:shape>
            </w:pict>
          </mc:Fallback>
        </mc:AlternateContent>
      </w:r>
      <w:r w:rsidR="00AE18AB" w:rsidRPr="002665EA">
        <w:rPr>
          <w:rFonts w:ascii="メイリオ" w:eastAsia="メイリオ" w:hAnsi="メイリオ" w:cs="メイリオ" w:hint="eastAsia"/>
          <w:position w:val="2"/>
          <w:sz w:val="22"/>
        </w:rPr>
        <w:t>公立大学法人</w:t>
      </w:r>
      <w:r w:rsidR="00727BDD" w:rsidRPr="002665EA">
        <w:rPr>
          <w:rFonts w:ascii="メイリオ" w:eastAsia="メイリオ" w:hAnsi="メイリオ" w:cs="メイリオ" w:hint="eastAsia"/>
          <w:position w:val="2"/>
          <w:sz w:val="22"/>
        </w:rPr>
        <w:t xml:space="preserve">大阪府立大学　</w:t>
      </w:r>
      <w:r w:rsidR="008A3FD4" w:rsidRPr="002665EA">
        <w:rPr>
          <w:rFonts w:ascii="メイリオ" w:eastAsia="メイリオ" w:hAnsi="メイリオ" w:cs="メイリオ" w:hint="eastAsia"/>
          <w:position w:val="2"/>
          <w:sz w:val="22"/>
        </w:rPr>
        <w:t>第３期</w:t>
      </w:r>
      <w:r w:rsidR="006B75EC" w:rsidRPr="002665EA">
        <w:rPr>
          <w:rFonts w:ascii="メイリオ" w:eastAsia="メイリオ" w:hAnsi="メイリオ" w:cs="メイリオ" w:hint="eastAsia"/>
          <w:position w:val="2"/>
          <w:sz w:val="22"/>
        </w:rPr>
        <w:t>中期目標（</w:t>
      </w:r>
      <w:r w:rsidR="00C25BE1" w:rsidRPr="002665EA">
        <w:rPr>
          <w:rFonts w:ascii="メイリオ" w:eastAsia="メイリオ" w:hAnsi="メイリオ" w:cs="メイリオ" w:hint="eastAsia"/>
          <w:position w:val="2"/>
          <w:sz w:val="22"/>
        </w:rPr>
        <w:t>案）</w:t>
      </w:r>
      <w:bookmarkStart w:id="0" w:name="_GoBack"/>
      <w:bookmarkEnd w:id="0"/>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B07C74" w:rsidP="00706E7C">
      <w:pPr>
        <w:spacing w:line="360" w:lineRule="exact"/>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（中期目標策定の基本的な考え方）</w:t>
      </w:r>
    </w:p>
    <w:p w:rsidR="00706E7C" w:rsidRPr="002665EA" w:rsidRDefault="00706E7C" w:rsidP="006A0D6D">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大阪府立大学は、平成17年度の公立大学法人化以降、第１期中期目標期間においては、府立三大学を統合し、第２期中期目標期間においては、府立工業高等専門学校の法人運営化や学域制度改革を行うなど、大規模な組織改革を実行してきた。</w:t>
      </w:r>
    </w:p>
    <w:p w:rsidR="00706E7C" w:rsidRPr="002665EA" w:rsidRDefault="00706E7C" w:rsidP="006A0D6D">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また、これらの組織改革を通して、全学教育研究組織の整備など教育研究体制の充実強化を図るとともに、教育の質を向上させる</w:t>
      </w:r>
      <w:r w:rsidR="00C01D2C" w:rsidRPr="002665EA">
        <w:rPr>
          <w:rFonts w:ascii="メイリオ" w:eastAsia="メイリオ" w:hAnsi="メイリオ" w:cs="メイリオ" w:hint="eastAsia"/>
          <w:position w:val="2"/>
          <w:sz w:val="22"/>
        </w:rPr>
        <w:t>制度の導入や外部研究資金の獲得、分野横断的な研究体制などの取組</w:t>
      </w:r>
      <w:r w:rsidR="00E77744" w:rsidRPr="002665EA">
        <w:rPr>
          <w:rFonts w:ascii="メイリオ" w:eastAsia="メイリオ" w:hAnsi="メイリオ" w:cs="メイリオ" w:hint="eastAsia"/>
          <w:position w:val="2"/>
          <w:sz w:val="22"/>
        </w:rPr>
        <w:t>の拡充など</w:t>
      </w:r>
      <w:r w:rsidRPr="002665EA">
        <w:rPr>
          <w:rFonts w:ascii="メイリオ" w:eastAsia="メイリオ" w:hAnsi="メイリオ" w:cs="メイリオ" w:hint="eastAsia"/>
          <w:position w:val="2"/>
          <w:sz w:val="22"/>
        </w:rPr>
        <w:t>により、教育研究に大きな成果を挙げてきた。</w:t>
      </w:r>
    </w:p>
    <w:p w:rsidR="00706E7C" w:rsidRPr="002665EA" w:rsidRDefault="00706E7C" w:rsidP="006A0D6D">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さらに、公立大学に求められる地域貢献についても、企業や公的機関との連携による共同研究の推進や教育研究成果の地域への還元など、積極的に取り組んできている。</w:t>
      </w:r>
    </w:p>
    <w:p w:rsidR="00706E7C" w:rsidRPr="002665EA" w:rsidRDefault="00706E7C" w:rsidP="006A0D6D">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財政面においても、運営費交付金の計画的な削減に対応して、自己収入の確保と経費の抑制に継続的に取り組み、教育研究に必要な運営費の確保に努めてきた。</w:t>
      </w:r>
    </w:p>
    <w:p w:rsidR="00706E7C" w:rsidRPr="002665EA" w:rsidRDefault="00706E7C" w:rsidP="006A0D6D">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こうした</w:t>
      </w:r>
      <w:r w:rsidR="00C01D2C" w:rsidRPr="002665EA">
        <w:rPr>
          <w:rFonts w:ascii="メイリオ" w:eastAsia="メイリオ" w:hAnsi="メイリオ" w:cs="メイリオ" w:hint="eastAsia"/>
          <w:position w:val="2"/>
          <w:sz w:val="22"/>
        </w:rPr>
        <w:t>取組</w:t>
      </w:r>
      <w:r w:rsidRPr="002665EA">
        <w:rPr>
          <w:rFonts w:ascii="メイリオ" w:eastAsia="メイリオ" w:hAnsi="メイリオ" w:cs="メイリオ" w:hint="eastAsia"/>
          <w:position w:val="2"/>
          <w:sz w:val="22"/>
        </w:rPr>
        <w:t>を進める中、今後見込まれる少子化やグローバル化に伴う大学間競争の激化に対応していくため、平成27年2月、大阪府立大学と大阪市立大学において、両大学の統合により、世界へ展開する高度研究型大学をめざして「新・公立大学</w:t>
      </w:r>
      <w:r w:rsidR="00541E28" w:rsidRPr="002665EA">
        <w:rPr>
          <w:rFonts w:ascii="メイリオ" w:eastAsia="メイリオ" w:hAnsi="メイリオ" w:cs="メイリオ" w:hint="eastAsia"/>
          <w:position w:val="2"/>
          <w:sz w:val="22"/>
        </w:rPr>
        <w:t>」大阪モデル（基本構想）</w:t>
      </w:r>
      <w:r w:rsidRPr="002665EA">
        <w:rPr>
          <w:rFonts w:ascii="メイリオ" w:eastAsia="メイリオ" w:hAnsi="メイリオ" w:cs="メイリオ" w:hint="eastAsia"/>
          <w:position w:val="2"/>
          <w:sz w:val="22"/>
        </w:rPr>
        <w:t>がとりまとめられた。この中期目標期間においては、大学統合による新大学の実現を目指して、大阪市立大学や大阪市と緊密に協力して、準備を進める。</w:t>
      </w:r>
    </w:p>
    <w:p w:rsidR="00706E7C" w:rsidRPr="002665EA" w:rsidRDefault="00706E7C" w:rsidP="006A0D6D">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このような経過をふまえ、公立大学法人大阪府立大学が、これまでの大学改革の取組の継続と発展を図りながら、地域社会</w:t>
      </w:r>
      <w:r w:rsidR="00F5410B" w:rsidRPr="002665EA">
        <w:rPr>
          <w:rFonts w:ascii="メイリオ" w:eastAsia="メイリオ" w:hAnsi="メイリオ" w:cs="メイリオ" w:hint="eastAsia"/>
          <w:position w:val="2"/>
          <w:sz w:val="22"/>
        </w:rPr>
        <w:t>及び</w:t>
      </w:r>
      <w:r w:rsidRPr="002665EA">
        <w:rPr>
          <w:rFonts w:ascii="メイリオ" w:eastAsia="メイリオ" w:hAnsi="メイリオ" w:cs="メイリオ" w:hint="eastAsia"/>
          <w:position w:val="2"/>
          <w:sz w:val="22"/>
        </w:rPr>
        <w:t>国際社会で活躍できる高度な人材を育成するとともに、地域・産業界との強い連携のもと、大阪のイノベーションを牽引できる高度研究型大学となるよう、また、高等専門学校は、創造力ある実践的技術者の養成を行うよう、以下のとおり中期目標を定め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（基本的な目標）</w:t>
      </w: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公立大学法人大阪府立大学は、大学及び高等専門学校を設置し、及び管理することにより、広い分野の総合的な知識と深い専門的学術を教授研究し、豊かな人間性と高い知性を備え、応用力や実践力に富む有為な人材の育成を行うとともに、その研究成果の社会への還元を図り、もって地域社会及び国際社会の発展に寄与することを目的としている。この目的を果たすため、以下のとおり取り組む。</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lastRenderedPageBreak/>
        <w:t>Ⅰ　中期目標の期間及び教育研究上の基本組織</w:t>
      </w: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１　中期目標の期間</w:t>
      </w:r>
    </w:p>
    <w:p w:rsidR="00706E7C" w:rsidRPr="002665EA" w:rsidRDefault="00706E7C" w:rsidP="00706E7C">
      <w:pPr>
        <w:spacing w:line="360" w:lineRule="exact"/>
        <w:ind w:firstLineChars="300" w:firstLine="66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平成29年４月１日から平成35年３月31日までの６年間とする。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２　教育研究組織</w:t>
      </w:r>
    </w:p>
    <w:p w:rsidR="00706E7C" w:rsidRPr="002665EA" w:rsidRDefault="00706E7C" w:rsidP="00706E7C">
      <w:pPr>
        <w:spacing w:line="360" w:lineRule="exact"/>
        <w:ind w:firstLineChars="200" w:firstLine="4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別表に記載する学域及び研究科等を置く。</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Ⅱ　教育研究等の質の向上に関する目標</w:t>
      </w:r>
    </w:p>
    <w:p w:rsidR="00541E28" w:rsidRPr="002665EA" w:rsidRDefault="00541E28" w:rsidP="00706E7C">
      <w:pPr>
        <w:spacing w:line="360" w:lineRule="exact"/>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（住民に対して提供するサービスその他の業務の質の向上に関する目標）</w:t>
      </w:r>
    </w:p>
    <w:p w:rsidR="00706E7C" w:rsidRPr="002665EA" w:rsidRDefault="00706E7C" w:rsidP="00706E7C">
      <w:pPr>
        <w:spacing w:line="360" w:lineRule="exact"/>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１　大阪府立大学の教育研究に関する目標</w:t>
      </w: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（１）教育に関する目標</w:t>
      </w:r>
    </w:p>
    <w:p w:rsidR="00706E7C" w:rsidRPr="002665EA" w:rsidRDefault="00706E7C" w:rsidP="00706E7C">
      <w:pPr>
        <w:spacing w:line="360" w:lineRule="exact"/>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 xml:space="preserve">　　　①　入学者選抜</w:t>
      </w:r>
    </w:p>
    <w:p w:rsidR="00706E7C" w:rsidRPr="002665EA" w:rsidRDefault="00706E7C" w:rsidP="00706E7C">
      <w:pPr>
        <w:spacing w:line="360" w:lineRule="exact"/>
        <w:ind w:leftChars="400" w:left="84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府大の教育目的・目標に沿った優秀な学生を受け入れるため、アドミッションポリシーに基づき、学力だけでなく多面的・総合的な評価を行う多様な入学者選抜を実施する。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leftChars="300" w:left="63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②　教育目標及び内容等</w:t>
      </w:r>
    </w:p>
    <w:p w:rsidR="00706E7C" w:rsidRPr="002665EA" w:rsidRDefault="00706E7C" w:rsidP="00706E7C">
      <w:pPr>
        <w:spacing w:line="360" w:lineRule="exact"/>
        <w:ind w:leftChars="400" w:left="84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初年次教育の充実をはじめ、教養・基礎教育と専門教育の充実を図り、複雑化・多様化し、急速に変化する社会において、幅広い教養と高い専門性を備え、地域社会だけでなく世界で活躍できる人材を育成するための教育を展開する。専門職種の国家試験については引き続き合格率の向上に努めるとともに、公的機関や産業界と連携した教育により実践力を兼ね備えた人材の育成を目指す。</w:t>
      </w:r>
    </w:p>
    <w:p w:rsidR="00706E7C" w:rsidRPr="002665EA" w:rsidRDefault="00706E7C" w:rsidP="00706E7C">
      <w:pPr>
        <w:spacing w:line="360" w:lineRule="exact"/>
        <w:ind w:leftChars="300" w:left="630"/>
        <w:rPr>
          <w:rFonts w:ascii="メイリオ" w:eastAsia="メイリオ" w:hAnsi="メイリオ" w:cs="メイリオ"/>
          <w:position w:val="2"/>
          <w:sz w:val="22"/>
        </w:rPr>
      </w:pPr>
    </w:p>
    <w:p w:rsidR="00706E7C" w:rsidRPr="002665EA" w:rsidRDefault="00706E7C" w:rsidP="00706E7C">
      <w:pPr>
        <w:spacing w:line="360" w:lineRule="exact"/>
        <w:ind w:leftChars="300" w:left="63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③　グローバル人材の育成</w:t>
      </w:r>
    </w:p>
    <w:p w:rsidR="00706E7C" w:rsidRPr="002665EA" w:rsidRDefault="00706E7C" w:rsidP="00706E7C">
      <w:pPr>
        <w:spacing w:line="360" w:lineRule="exact"/>
        <w:ind w:leftChars="400" w:left="84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グローバル化された社会で活躍できる人材を育成するため、異文化理解やコミュニケーション力などを重視した教育を展開す</w:t>
      </w:r>
      <w:r w:rsidRPr="002665EA">
        <w:rPr>
          <w:rFonts w:ascii="メイリオ" w:eastAsia="メイリオ" w:hAnsi="メイリオ" w:cs="メイリオ" w:hint="eastAsia"/>
          <w:position w:val="2"/>
          <w:sz w:val="22"/>
        </w:rPr>
        <w:lastRenderedPageBreak/>
        <w:t>る。学生の国際流動性</w:t>
      </w:r>
      <w:r w:rsidR="00541E28" w:rsidRPr="002665EA">
        <w:rPr>
          <w:rFonts w:ascii="メイリオ" w:eastAsia="メイリオ" w:hAnsi="メイリオ" w:cs="メイリオ" w:hint="eastAsia"/>
          <w:position w:val="2"/>
          <w:sz w:val="22"/>
        </w:rPr>
        <w:t>を高めるため、海外からの留学生</w:t>
      </w:r>
      <w:r w:rsidR="00C01D2C" w:rsidRPr="002665EA">
        <w:rPr>
          <w:rFonts w:ascii="メイリオ" w:eastAsia="メイリオ" w:hAnsi="メイリオ" w:cs="メイリオ" w:hint="eastAsia"/>
          <w:position w:val="2"/>
          <w:sz w:val="22"/>
        </w:rPr>
        <w:t>の受</w:t>
      </w:r>
      <w:r w:rsidRPr="002665EA">
        <w:rPr>
          <w:rFonts w:ascii="メイリオ" w:eastAsia="メイリオ" w:hAnsi="メイリオ" w:cs="メイリオ" w:hint="eastAsia"/>
          <w:position w:val="2"/>
          <w:sz w:val="22"/>
        </w:rPr>
        <w:t>入れ</w:t>
      </w:r>
      <w:r w:rsidR="00541E28" w:rsidRPr="002665EA">
        <w:rPr>
          <w:rFonts w:ascii="メイリオ" w:eastAsia="メイリオ" w:hAnsi="メイリオ" w:cs="メイリオ" w:hint="eastAsia"/>
          <w:position w:val="2"/>
          <w:sz w:val="22"/>
        </w:rPr>
        <w:t>や海外への留学</w:t>
      </w:r>
      <w:r w:rsidRPr="002665EA">
        <w:rPr>
          <w:rFonts w:ascii="メイリオ" w:eastAsia="メイリオ" w:hAnsi="メイリオ" w:cs="メイリオ" w:hint="eastAsia"/>
          <w:position w:val="2"/>
          <w:sz w:val="22"/>
        </w:rPr>
        <w:t>に対する支援制度を充実する。</w:t>
      </w:r>
    </w:p>
    <w:p w:rsidR="00706E7C" w:rsidRPr="002665EA" w:rsidRDefault="00706E7C" w:rsidP="00706E7C">
      <w:pPr>
        <w:spacing w:line="360" w:lineRule="exact"/>
        <w:ind w:leftChars="300" w:left="630"/>
        <w:rPr>
          <w:rFonts w:ascii="メイリオ" w:eastAsia="メイリオ" w:hAnsi="メイリオ" w:cs="メイリオ"/>
          <w:position w:val="2"/>
          <w:sz w:val="22"/>
        </w:rPr>
      </w:pPr>
    </w:p>
    <w:p w:rsidR="00706E7C" w:rsidRPr="002665EA" w:rsidRDefault="00706E7C" w:rsidP="00706E7C">
      <w:pPr>
        <w:spacing w:line="360" w:lineRule="exact"/>
        <w:ind w:leftChars="300" w:left="63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④　教育の質保証</w:t>
      </w:r>
    </w:p>
    <w:p w:rsidR="00706E7C" w:rsidRPr="002665EA" w:rsidRDefault="00541E28" w:rsidP="00706E7C">
      <w:pPr>
        <w:spacing w:line="360" w:lineRule="exact"/>
        <w:ind w:leftChars="400" w:left="84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３つのポリシー（</w:t>
      </w:r>
      <w:r w:rsidR="00706E7C" w:rsidRPr="002665EA">
        <w:rPr>
          <w:rFonts w:ascii="メイリオ" w:eastAsia="メイリオ" w:hAnsi="メイリオ" w:cs="メイリオ" w:hint="eastAsia"/>
          <w:position w:val="2"/>
          <w:sz w:val="22"/>
        </w:rPr>
        <w:t>ディプロマポリシー、カリキュラムポリシー</w:t>
      </w:r>
      <w:r w:rsidRPr="002665EA">
        <w:rPr>
          <w:rFonts w:ascii="メイリオ" w:eastAsia="メイリオ" w:hAnsi="メイリオ" w:cs="メイリオ" w:hint="eastAsia"/>
          <w:position w:val="2"/>
          <w:sz w:val="22"/>
        </w:rPr>
        <w:t>、</w:t>
      </w:r>
      <w:r w:rsidR="00706E7C" w:rsidRPr="002665EA">
        <w:rPr>
          <w:rFonts w:ascii="メイリオ" w:eastAsia="メイリオ" w:hAnsi="メイリオ" w:cs="メイリオ" w:hint="eastAsia"/>
          <w:position w:val="2"/>
          <w:sz w:val="22"/>
        </w:rPr>
        <w:t>アドミッションポリシー</w:t>
      </w:r>
      <w:r w:rsidRPr="002665EA">
        <w:rPr>
          <w:rFonts w:ascii="メイリオ" w:eastAsia="メイリオ" w:hAnsi="メイリオ" w:cs="メイリオ" w:hint="eastAsia"/>
          <w:position w:val="2"/>
          <w:sz w:val="22"/>
        </w:rPr>
        <w:t>）</w:t>
      </w:r>
      <w:r w:rsidR="00706E7C" w:rsidRPr="002665EA">
        <w:rPr>
          <w:rFonts w:ascii="メイリオ" w:eastAsia="メイリオ" w:hAnsi="メイリオ" w:cs="メイリオ" w:hint="eastAsia"/>
          <w:position w:val="2"/>
          <w:sz w:val="22"/>
        </w:rPr>
        <w:t>に基づいた教育の内部質保証のためのPDCAサイクルを構築する</w:t>
      </w:r>
      <w:r w:rsidRPr="002665EA">
        <w:rPr>
          <w:rFonts w:ascii="メイリオ" w:eastAsia="メイリオ" w:hAnsi="メイリオ" w:cs="メイリオ" w:hint="eastAsia"/>
          <w:position w:val="2"/>
          <w:sz w:val="22"/>
        </w:rPr>
        <w:t>。個々の授業科目レベルにおいても、各教員がディプロマポリシー、</w:t>
      </w:r>
      <w:r w:rsidR="00706E7C" w:rsidRPr="002665EA">
        <w:rPr>
          <w:rFonts w:ascii="メイリオ" w:eastAsia="メイリオ" w:hAnsi="メイリオ" w:cs="メイリオ" w:hint="eastAsia"/>
          <w:position w:val="2"/>
          <w:sz w:val="22"/>
        </w:rPr>
        <w:t>カリキュラムポリシーを踏まえ、教育改善に向けたPDCA</w:t>
      </w:r>
      <w:r w:rsidR="00C01D2C" w:rsidRPr="002665EA">
        <w:rPr>
          <w:rFonts w:ascii="メイリオ" w:eastAsia="メイリオ" w:hAnsi="メイリオ" w:cs="メイリオ" w:hint="eastAsia"/>
          <w:position w:val="2"/>
          <w:sz w:val="22"/>
        </w:rPr>
        <w:t>サイクルを機能させるための取組</w:t>
      </w:r>
      <w:r w:rsidR="00706E7C" w:rsidRPr="002665EA">
        <w:rPr>
          <w:rFonts w:ascii="メイリオ" w:eastAsia="メイリオ" w:hAnsi="メイリオ" w:cs="メイリオ" w:hint="eastAsia"/>
          <w:position w:val="2"/>
          <w:sz w:val="22"/>
        </w:rPr>
        <w:t>を推進する。また、国際通用性のある教育カリキュラムを展開する教育体制の整備に取り組む。</w:t>
      </w:r>
    </w:p>
    <w:p w:rsidR="00706E7C" w:rsidRPr="002665EA" w:rsidRDefault="00706E7C" w:rsidP="00706E7C">
      <w:pPr>
        <w:spacing w:line="360" w:lineRule="exact"/>
        <w:ind w:leftChars="300" w:left="630"/>
        <w:rPr>
          <w:rFonts w:ascii="メイリオ" w:eastAsia="メイリオ" w:hAnsi="メイリオ" w:cs="メイリオ"/>
          <w:position w:val="2"/>
          <w:sz w:val="22"/>
        </w:rPr>
      </w:pPr>
    </w:p>
    <w:p w:rsidR="00706E7C" w:rsidRPr="002665EA" w:rsidRDefault="00706E7C" w:rsidP="00706E7C">
      <w:pPr>
        <w:spacing w:line="360" w:lineRule="exact"/>
        <w:ind w:leftChars="300" w:left="63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⑤　学生支援体制等の充実</w:t>
      </w:r>
    </w:p>
    <w:p w:rsidR="00706E7C" w:rsidRPr="002665EA" w:rsidRDefault="00706E7C" w:rsidP="00706E7C">
      <w:pPr>
        <w:spacing w:line="360" w:lineRule="exact"/>
        <w:ind w:leftChars="400" w:left="84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学生の資質・能力を育むために必要な支援制度の充実や各種相談体制の整備、</w:t>
      </w:r>
      <w:r w:rsidR="00FF3E43" w:rsidRPr="002665EA">
        <w:rPr>
          <w:rFonts w:ascii="メイリオ" w:eastAsia="メイリオ" w:hAnsi="メイリオ" w:cs="メイリオ" w:hint="eastAsia"/>
          <w:position w:val="2"/>
          <w:sz w:val="22"/>
        </w:rPr>
        <w:t>就職に関する支援</w:t>
      </w:r>
      <w:r w:rsidRPr="002665EA">
        <w:rPr>
          <w:rFonts w:ascii="メイリオ" w:eastAsia="メイリオ" w:hAnsi="メイリオ" w:cs="メイリオ" w:hint="eastAsia"/>
          <w:position w:val="2"/>
          <w:sz w:val="22"/>
        </w:rPr>
        <w:t>、就学環境の整備等を推進する。</w:t>
      </w:r>
    </w:p>
    <w:p w:rsidR="00706E7C" w:rsidRPr="002665EA" w:rsidRDefault="00C01D2C" w:rsidP="00706E7C">
      <w:pPr>
        <w:spacing w:line="360" w:lineRule="exact"/>
        <w:ind w:leftChars="300" w:left="630" w:firstLineChars="200" w:firstLine="4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障がい者の学ぶ機会をより一層拡充するため、支援の取組</w:t>
      </w:r>
      <w:r w:rsidR="00706E7C" w:rsidRPr="002665EA">
        <w:rPr>
          <w:rFonts w:ascii="メイリオ" w:eastAsia="メイリオ" w:hAnsi="メイリオ" w:cs="メイリオ" w:hint="eastAsia"/>
          <w:position w:val="2"/>
          <w:sz w:val="22"/>
        </w:rPr>
        <w:t>を進める。</w:t>
      </w:r>
    </w:p>
    <w:p w:rsidR="00706E7C" w:rsidRPr="002665EA" w:rsidRDefault="00706E7C" w:rsidP="00706E7C">
      <w:pPr>
        <w:spacing w:line="360" w:lineRule="exact"/>
        <w:ind w:leftChars="300" w:left="630" w:firstLineChars="200" w:firstLine="4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また、アジアをはじめとする海外からの留学生を積極的に受け入れるための環境づくりを進める。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firstLineChars="200" w:firstLine="4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（２）研究に関する目標</w:t>
      </w:r>
    </w:p>
    <w:p w:rsidR="00706E7C" w:rsidRPr="002665EA" w:rsidRDefault="00706E7C" w:rsidP="00706E7C">
      <w:pPr>
        <w:spacing w:line="360" w:lineRule="exact"/>
        <w:ind w:leftChars="400" w:left="8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①　研究水準等の向上</w:t>
      </w:r>
    </w:p>
    <w:p w:rsidR="00706E7C" w:rsidRPr="002665EA" w:rsidRDefault="00706E7C" w:rsidP="00706E7C">
      <w:pPr>
        <w:spacing w:line="360" w:lineRule="exact"/>
        <w:ind w:leftChars="500" w:left="105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高度研究型大学」として、現代社会における様々な課題の解決やイノベーションの創出に資するため、大阪府立大学の持つ強みを活用しつつ先端的な研究や異分野融合による研究を推進するとともに、社会的ニーズに対応した研究を推進する。</w:t>
      </w:r>
    </w:p>
    <w:p w:rsidR="00706E7C" w:rsidRPr="002665EA" w:rsidRDefault="00706E7C" w:rsidP="00706E7C">
      <w:pPr>
        <w:spacing w:line="360" w:lineRule="exact"/>
        <w:ind w:leftChars="400" w:left="840"/>
        <w:rPr>
          <w:rFonts w:ascii="メイリオ" w:eastAsia="メイリオ" w:hAnsi="メイリオ" w:cs="メイリオ"/>
          <w:position w:val="2"/>
          <w:sz w:val="22"/>
        </w:rPr>
      </w:pPr>
    </w:p>
    <w:p w:rsidR="00706E7C" w:rsidRPr="002665EA" w:rsidRDefault="00706E7C" w:rsidP="00706E7C">
      <w:pPr>
        <w:spacing w:line="360" w:lineRule="exact"/>
        <w:ind w:leftChars="400" w:left="8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②　研究体制等の整備</w:t>
      </w:r>
    </w:p>
    <w:p w:rsidR="00706E7C" w:rsidRPr="002665EA" w:rsidRDefault="00706E7C" w:rsidP="00706E7C">
      <w:pPr>
        <w:spacing w:line="360" w:lineRule="exact"/>
        <w:ind w:leftChars="500" w:left="105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研究を推進する体制として、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また、研究の推進にあたっては、外部資金を積極的に活用す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firstLineChars="200" w:firstLine="4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lastRenderedPageBreak/>
        <w:t>（３）地域貢献等に関する目標</w:t>
      </w:r>
    </w:p>
    <w:p w:rsidR="00706E7C" w:rsidRPr="002665EA" w:rsidRDefault="00706E7C" w:rsidP="00706E7C">
      <w:pPr>
        <w:spacing w:line="360" w:lineRule="exact"/>
        <w:ind w:leftChars="400" w:left="8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①　研究成果の発信と還元による産業活性化への貢献</w:t>
      </w:r>
    </w:p>
    <w:p w:rsidR="00706E7C" w:rsidRPr="002665EA" w:rsidRDefault="00706E7C" w:rsidP="00706E7C">
      <w:pPr>
        <w:spacing w:line="360" w:lineRule="exact"/>
        <w:ind w:leftChars="500" w:left="105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大阪府立大学の研究成果を広く発信・社会還元し、地域社会・世界の発展に貢献する。実学に強みがある大阪府立大学の特徴を活かし、特に産学連携の取組の強化を通じて、大阪の産業活性化に貢献する取組を推進する。</w:t>
      </w:r>
    </w:p>
    <w:p w:rsidR="00706E7C" w:rsidRPr="002665EA" w:rsidRDefault="00706E7C" w:rsidP="00706E7C">
      <w:pPr>
        <w:spacing w:line="360" w:lineRule="exact"/>
        <w:ind w:leftChars="400" w:left="840"/>
        <w:rPr>
          <w:rFonts w:ascii="メイリオ" w:eastAsia="メイリオ" w:hAnsi="メイリオ" w:cs="メイリオ"/>
          <w:position w:val="2"/>
          <w:sz w:val="22"/>
        </w:rPr>
      </w:pPr>
    </w:p>
    <w:p w:rsidR="00706E7C" w:rsidRPr="002665EA" w:rsidRDefault="00706E7C" w:rsidP="00706E7C">
      <w:pPr>
        <w:spacing w:line="360" w:lineRule="exact"/>
        <w:ind w:leftChars="400" w:left="8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②　生涯教育の取組の強化</w:t>
      </w:r>
    </w:p>
    <w:p w:rsidR="00706E7C" w:rsidRPr="002665EA" w:rsidRDefault="00706E7C" w:rsidP="00706E7C">
      <w:pPr>
        <w:spacing w:line="360" w:lineRule="exact"/>
        <w:ind w:leftChars="500" w:left="105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府民・地域の生涯学習ニーズに対応するため、適正な受益者負担のもと大阪府立大学の知的資源を活用し、多様で質の高い生涯教育を受ける機会を提供する。</w:t>
      </w:r>
    </w:p>
    <w:p w:rsidR="00706E7C" w:rsidRPr="002665EA" w:rsidRDefault="00706E7C" w:rsidP="00706E7C">
      <w:pPr>
        <w:spacing w:line="360" w:lineRule="exact"/>
        <w:ind w:leftChars="400" w:left="840" w:firstLineChars="200" w:firstLine="4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また、交通の利便性を活かした都市部サテライトでの社会人向け公開講座の実施など、社会人の学習の場の提供に努める。</w:t>
      </w:r>
    </w:p>
    <w:p w:rsidR="00706E7C" w:rsidRPr="002665EA" w:rsidRDefault="00706E7C" w:rsidP="00706E7C">
      <w:pPr>
        <w:spacing w:line="360" w:lineRule="exact"/>
        <w:ind w:leftChars="400" w:left="840"/>
        <w:rPr>
          <w:rFonts w:ascii="メイリオ" w:eastAsia="メイリオ" w:hAnsi="メイリオ" w:cs="メイリオ"/>
          <w:position w:val="2"/>
          <w:sz w:val="22"/>
        </w:rPr>
      </w:pPr>
    </w:p>
    <w:p w:rsidR="00706E7C" w:rsidRPr="002665EA" w:rsidRDefault="00706E7C" w:rsidP="00706E7C">
      <w:pPr>
        <w:spacing w:line="360" w:lineRule="exact"/>
        <w:ind w:leftChars="400" w:left="8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③　地方自治体など諸機関との連携の強化</w:t>
      </w:r>
    </w:p>
    <w:p w:rsidR="00706E7C" w:rsidRPr="002665EA" w:rsidRDefault="00706E7C" w:rsidP="00706E7C">
      <w:pPr>
        <w:spacing w:line="360" w:lineRule="exact"/>
        <w:ind w:leftChars="500" w:left="105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大阪府、府内市町村等との連携を強化し、具体的な政策課題等に対応した共同研究・共同事業を実施するなど、「大阪のシンクタンク」としての役割を果たす。また、府の関係機関との人的・技術的な連携協力を進めるとともに、公的研究機関や国・諸外国の関係機関などと連携することにより、地域社会の課題の解決に貢献す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firstLineChars="200" w:firstLine="4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（４）グローバル化に関する目標</w:t>
      </w:r>
    </w:p>
    <w:p w:rsidR="00706E7C" w:rsidRPr="002665EA" w:rsidRDefault="00706E7C" w:rsidP="00706E7C">
      <w:pPr>
        <w:spacing w:line="360" w:lineRule="exact"/>
        <w:ind w:leftChars="400" w:left="84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大阪府立大学が「国際的な高度研究型大学」として</w:t>
      </w:r>
      <w:r w:rsidR="00FF3E43" w:rsidRPr="002665EA">
        <w:rPr>
          <w:rFonts w:ascii="メイリオ" w:eastAsia="メイリオ" w:hAnsi="メイリオ" w:cs="メイリオ" w:hint="eastAsia"/>
          <w:position w:val="2"/>
          <w:sz w:val="22"/>
        </w:rPr>
        <w:t>より一層発展する</w:t>
      </w:r>
      <w:r w:rsidRPr="002665EA">
        <w:rPr>
          <w:rFonts w:ascii="メイリオ" w:eastAsia="メイリオ" w:hAnsi="メイリオ" w:cs="メイリオ" w:hint="eastAsia"/>
          <w:position w:val="2"/>
          <w:sz w:val="22"/>
        </w:rPr>
        <w:t>ために、大阪に</w:t>
      </w:r>
      <w:r w:rsidR="00541E28" w:rsidRPr="002665EA">
        <w:rPr>
          <w:rFonts w:ascii="メイリオ" w:eastAsia="メイリオ" w:hAnsi="メイリオ" w:cs="メイリオ" w:hint="eastAsia"/>
          <w:position w:val="2"/>
          <w:sz w:val="22"/>
        </w:rPr>
        <w:t>ある公立大学としての優位性を活かしたグローバルな教育・研究・地域</w:t>
      </w:r>
      <w:r w:rsidRPr="002665EA">
        <w:rPr>
          <w:rFonts w:ascii="メイリオ" w:eastAsia="メイリオ" w:hAnsi="メイリオ" w:cs="メイリオ" w:hint="eastAsia"/>
          <w:position w:val="2"/>
          <w:sz w:val="22"/>
        </w:rPr>
        <w:t>貢献活動の展開を図る。特に、アセアン地域諸国などのアジア</w:t>
      </w:r>
      <w:r w:rsidR="00C01D2C" w:rsidRPr="002665EA">
        <w:rPr>
          <w:rFonts w:ascii="メイリオ" w:eastAsia="メイリオ" w:hAnsi="メイリオ" w:cs="メイリオ" w:hint="eastAsia"/>
          <w:position w:val="2"/>
          <w:sz w:val="22"/>
        </w:rPr>
        <w:t>の大学や大阪府・府内市町村とのグローバル化施策と連携しつつ取組</w:t>
      </w:r>
      <w:r w:rsidRPr="002665EA">
        <w:rPr>
          <w:rFonts w:ascii="メイリオ" w:eastAsia="メイリオ" w:hAnsi="メイリオ" w:cs="メイリオ" w:hint="eastAsia"/>
          <w:position w:val="2"/>
          <w:sz w:val="22"/>
        </w:rPr>
        <w:t>を強化・推進する。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２　大阪府立大学工業高等専門学校の教育研究に関する目標</w:t>
      </w:r>
    </w:p>
    <w:p w:rsidR="00706E7C" w:rsidRPr="002665EA" w:rsidRDefault="00706E7C" w:rsidP="00706E7C">
      <w:pPr>
        <w:spacing w:line="360" w:lineRule="exact"/>
        <w:ind w:firstLineChars="200" w:firstLine="4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（１）教育内容等に関する目標</w:t>
      </w:r>
    </w:p>
    <w:p w:rsidR="00706E7C" w:rsidRPr="002665EA" w:rsidRDefault="00706E7C" w:rsidP="00706E7C">
      <w:pPr>
        <w:spacing w:line="360" w:lineRule="exact"/>
        <w:ind w:firstLineChars="400" w:firstLine="88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①　入学者選抜</w:t>
      </w:r>
    </w:p>
    <w:p w:rsidR="00706E7C" w:rsidRPr="002665EA" w:rsidRDefault="00706E7C" w:rsidP="00706E7C">
      <w:pPr>
        <w:spacing w:line="360" w:lineRule="exact"/>
        <w:ind w:leftChars="500" w:left="105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高専の目的及び使命に沿った学生を確保するため、アドミッションポリシーを踏まえた効果的な広報活動と多様な入試を実</w:t>
      </w:r>
      <w:r w:rsidRPr="002665EA">
        <w:rPr>
          <w:rFonts w:ascii="メイリオ" w:eastAsia="メイリオ" w:hAnsi="メイリオ" w:cs="メイリオ" w:hint="eastAsia"/>
          <w:position w:val="2"/>
          <w:sz w:val="22"/>
        </w:rPr>
        <w:lastRenderedPageBreak/>
        <w:t>施する。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leftChars="400" w:left="8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②　教育目標及び内容等</w:t>
      </w:r>
    </w:p>
    <w:p w:rsidR="00706E7C" w:rsidRPr="002665EA" w:rsidRDefault="00FF3E43" w:rsidP="00FF3E43">
      <w:pPr>
        <w:spacing w:line="360" w:lineRule="exact"/>
        <w:ind w:leftChars="500" w:left="105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社会のニーズに即した創</w:t>
      </w:r>
      <w:r w:rsidR="00706E7C" w:rsidRPr="002665EA">
        <w:rPr>
          <w:rFonts w:ascii="メイリオ" w:eastAsia="メイリオ" w:hAnsi="メイリオ" w:cs="メイリオ" w:hint="eastAsia"/>
          <w:position w:val="2"/>
          <w:sz w:val="22"/>
        </w:rPr>
        <w:t>造力と高い倫理観のあるものづくりの場でのリーダー的資質を備えた実践的技術者を養成するため、学生が主体的に知識と技術を深めることができる教育を推進する。</w:t>
      </w:r>
    </w:p>
    <w:p w:rsidR="00706E7C" w:rsidRPr="002665EA" w:rsidRDefault="00706E7C" w:rsidP="00706E7C">
      <w:pPr>
        <w:spacing w:line="360" w:lineRule="exact"/>
        <w:ind w:leftChars="400" w:left="840"/>
        <w:rPr>
          <w:rFonts w:ascii="メイリオ" w:eastAsia="メイリオ" w:hAnsi="メイリオ" w:cs="メイリオ"/>
          <w:position w:val="2"/>
          <w:sz w:val="22"/>
        </w:rPr>
      </w:pPr>
    </w:p>
    <w:p w:rsidR="00706E7C" w:rsidRPr="002665EA" w:rsidRDefault="00706E7C" w:rsidP="00706E7C">
      <w:pPr>
        <w:spacing w:line="360" w:lineRule="exact"/>
        <w:ind w:leftChars="400" w:left="8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③　グローバル人材の育成</w:t>
      </w:r>
    </w:p>
    <w:p w:rsidR="00706E7C" w:rsidRPr="002665EA" w:rsidRDefault="00FF3E43" w:rsidP="00FF3E43">
      <w:pPr>
        <w:spacing w:line="360" w:lineRule="exact"/>
        <w:ind w:leftChars="500" w:left="105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グローバル化の進む社会のニーズに則した技術者を育成するため、海外の大学や企業との連携した海外インターンシップ派遣を積極的に推進するなど、</w:t>
      </w:r>
      <w:r w:rsidR="00706E7C" w:rsidRPr="002665EA">
        <w:rPr>
          <w:rFonts w:ascii="メイリオ" w:eastAsia="メイリオ" w:hAnsi="メイリオ" w:cs="メイリオ" w:hint="eastAsia"/>
          <w:position w:val="2"/>
          <w:sz w:val="22"/>
        </w:rPr>
        <w:t>グローバルな教育研究活動の展開を図る。また、大阪府立大学と連携した多文化交流方法の検討を進める。</w:t>
      </w:r>
    </w:p>
    <w:p w:rsidR="00706E7C" w:rsidRPr="002665EA" w:rsidRDefault="00706E7C" w:rsidP="00706E7C">
      <w:pPr>
        <w:spacing w:line="360" w:lineRule="exact"/>
        <w:ind w:leftChars="400" w:left="840"/>
        <w:rPr>
          <w:rFonts w:ascii="メイリオ" w:eastAsia="メイリオ" w:hAnsi="メイリオ" w:cs="メイリオ"/>
          <w:position w:val="2"/>
          <w:sz w:val="22"/>
        </w:rPr>
      </w:pPr>
    </w:p>
    <w:p w:rsidR="00706E7C" w:rsidRPr="002665EA" w:rsidRDefault="00706E7C" w:rsidP="00706E7C">
      <w:pPr>
        <w:spacing w:line="360" w:lineRule="exact"/>
        <w:ind w:leftChars="400" w:left="8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④　教育の質保証</w:t>
      </w:r>
    </w:p>
    <w:p w:rsidR="00706E7C" w:rsidRPr="002665EA" w:rsidRDefault="0003765C" w:rsidP="00D27879">
      <w:pPr>
        <w:spacing w:line="360" w:lineRule="exact"/>
        <w:ind w:leftChars="500" w:left="105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ディプロマポリシー、カリキュラムポリシー、アドミッションポリシーに基づく継続的な検証・見直しを実施し、教育の内部質保証のためのPDCAサイクルの拡充や社会のニーズに沿ったカリキュラムを展開する教育体制の整備に取り組む。</w:t>
      </w:r>
    </w:p>
    <w:p w:rsidR="0003765C" w:rsidRPr="002665EA" w:rsidRDefault="0003765C" w:rsidP="00706E7C">
      <w:pPr>
        <w:spacing w:line="360" w:lineRule="exact"/>
        <w:ind w:leftChars="400" w:left="840"/>
        <w:rPr>
          <w:rFonts w:ascii="メイリオ" w:eastAsia="メイリオ" w:hAnsi="メイリオ" w:cs="メイリオ"/>
          <w:position w:val="2"/>
          <w:sz w:val="22"/>
        </w:rPr>
      </w:pPr>
    </w:p>
    <w:p w:rsidR="00706E7C" w:rsidRPr="002665EA" w:rsidRDefault="00706E7C" w:rsidP="00706E7C">
      <w:pPr>
        <w:spacing w:line="360" w:lineRule="exact"/>
        <w:ind w:leftChars="400" w:left="8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⑤　学生支援体制等の充実</w:t>
      </w:r>
    </w:p>
    <w:p w:rsidR="00706E7C" w:rsidRPr="002665EA" w:rsidRDefault="00FF3E43" w:rsidP="00FF3E43">
      <w:pPr>
        <w:spacing w:line="360" w:lineRule="exact"/>
        <w:ind w:leftChars="400" w:left="840" w:firstLineChars="200" w:firstLine="4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学生の資質・能力を育むため、学生の修学機会を確保するとともに、</w:t>
      </w:r>
      <w:r w:rsidR="00706E7C" w:rsidRPr="002665EA">
        <w:rPr>
          <w:rFonts w:ascii="メイリオ" w:eastAsia="メイリオ" w:hAnsi="メイリオ" w:cs="メイリオ" w:hint="eastAsia"/>
          <w:position w:val="2"/>
          <w:sz w:val="22"/>
        </w:rPr>
        <w:t>必要な支援体制等の充実を進める。</w:t>
      </w:r>
    </w:p>
    <w:p w:rsidR="00706E7C" w:rsidRPr="002665EA" w:rsidRDefault="00706E7C" w:rsidP="00706E7C">
      <w:pPr>
        <w:spacing w:line="360" w:lineRule="exact"/>
        <w:ind w:leftChars="500" w:left="105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また、学生及び地域社会のニーズに合わせて、工学に関連する幅広い分野への就職を推進するとともに、本科から大学への編入学や専攻科から大学院への進学など多様な進路に円滑に接続できるようにする。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firstLineChars="200" w:firstLine="4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（２）研究に関する目標</w:t>
      </w:r>
    </w:p>
    <w:p w:rsidR="00706E7C" w:rsidRPr="002665EA" w:rsidRDefault="00706E7C" w:rsidP="00706E7C">
      <w:pPr>
        <w:spacing w:line="360" w:lineRule="exact"/>
        <w:ind w:leftChars="400" w:left="84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大阪府立大学との連携を深めながら、外部との共同研究の拡大を図るとともに、若手教員を重点に研究業績を</w:t>
      </w:r>
      <w:r w:rsidR="00C01D2C" w:rsidRPr="002665EA">
        <w:rPr>
          <w:rFonts w:ascii="メイリオ" w:eastAsia="メイリオ" w:hAnsi="メイリオ" w:cs="メイリオ" w:hint="eastAsia"/>
          <w:position w:val="2"/>
          <w:sz w:val="22"/>
        </w:rPr>
        <w:t>高め、大阪を中心とするものづくり産業の発展に資する研究を推進する</w:t>
      </w:r>
      <w:r w:rsidRPr="002665EA">
        <w:rPr>
          <w:rFonts w:ascii="メイリオ" w:eastAsia="メイリオ" w:hAnsi="メイリオ" w:cs="メイリオ" w:hint="eastAsia"/>
          <w:position w:val="2"/>
          <w:sz w:val="22"/>
        </w:rPr>
        <w:t>。</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firstLineChars="200" w:firstLine="4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lastRenderedPageBreak/>
        <w:t>（３）地域貢献等に関する目標</w:t>
      </w:r>
    </w:p>
    <w:p w:rsidR="00706E7C" w:rsidRPr="002665EA" w:rsidRDefault="00706E7C" w:rsidP="00706E7C">
      <w:pPr>
        <w:spacing w:line="360" w:lineRule="exact"/>
        <w:ind w:leftChars="400" w:left="8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①　研究成果の発信と社会への還元</w:t>
      </w:r>
    </w:p>
    <w:p w:rsidR="00706E7C" w:rsidRPr="002665EA" w:rsidRDefault="00706E7C" w:rsidP="00706E7C">
      <w:pPr>
        <w:spacing w:line="360" w:lineRule="exact"/>
        <w:ind w:leftChars="400" w:left="840" w:firstLineChars="200" w:firstLine="4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研究成果を効果的かつ積極的に社会に発信し還元することにより、産業や地域社会の発展に貢献する。</w:t>
      </w:r>
    </w:p>
    <w:p w:rsidR="00706E7C" w:rsidRPr="002665EA" w:rsidRDefault="00706E7C" w:rsidP="00706E7C">
      <w:pPr>
        <w:spacing w:line="360" w:lineRule="exact"/>
        <w:ind w:leftChars="400" w:left="84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②　公開講座や出前授業の推進</w:t>
      </w:r>
    </w:p>
    <w:p w:rsidR="00706E7C" w:rsidRPr="002665EA" w:rsidRDefault="00706E7C" w:rsidP="00706E7C">
      <w:pPr>
        <w:spacing w:line="360" w:lineRule="exact"/>
        <w:ind w:leftChars="500" w:left="105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技術科学教育力を活かし、小・中学生など次世代の人材育成に資する取組を推進するとともに社会人対象のリカレント教育を検討する。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Ⅲ　業務運営の改善及び効率化に関する目標</w:t>
      </w: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１　運営体制の改善に関する目標</w:t>
      </w:r>
    </w:p>
    <w:p w:rsidR="00706E7C" w:rsidRPr="002665EA" w:rsidRDefault="00706E7C" w:rsidP="00706E7C">
      <w:pPr>
        <w:spacing w:line="360" w:lineRule="exact"/>
        <w:ind w:leftChars="200" w:left="4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 xml:space="preserve">　理事長・学長のトップマネジメントを支える理事・副学長の役割・権限を明確化し、時代の変化に対応した、より機動的な運</w:t>
      </w:r>
      <w:r w:rsidR="006F22EA" w:rsidRPr="002665EA">
        <w:rPr>
          <w:rFonts w:ascii="メイリオ" w:eastAsia="メイリオ" w:hAnsi="メイリオ" w:cs="メイリオ" w:hint="eastAsia"/>
          <w:position w:val="2"/>
          <w:sz w:val="22"/>
        </w:rPr>
        <w:t>営体制を構築する。また、大阪市立大学との統合による新大学の実現を見据えて</w:t>
      </w:r>
      <w:r w:rsidR="00384E97" w:rsidRPr="002665EA">
        <w:rPr>
          <w:rFonts w:ascii="メイリオ" w:eastAsia="メイリオ" w:hAnsi="メイリオ" w:cs="メイリオ" w:hint="eastAsia"/>
          <w:position w:val="2"/>
          <w:sz w:val="22"/>
        </w:rPr>
        <w:t>、法人業務、</w:t>
      </w:r>
      <w:r w:rsidRPr="002665EA">
        <w:rPr>
          <w:rFonts w:ascii="メイリオ" w:eastAsia="メイリオ" w:hAnsi="メイリオ" w:cs="メイリオ" w:hint="eastAsia"/>
          <w:position w:val="2"/>
          <w:sz w:val="22"/>
        </w:rPr>
        <w:t>大学</w:t>
      </w:r>
      <w:r w:rsidR="00384E97" w:rsidRPr="002665EA">
        <w:rPr>
          <w:rFonts w:ascii="メイリオ" w:eastAsia="メイリオ" w:hAnsi="メイリオ" w:cs="メイリオ" w:hint="eastAsia"/>
          <w:position w:val="2"/>
          <w:sz w:val="22"/>
        </w:rPr>
        <w:t>業務及び高等専門学校</w:t>
      </w:r>
      <w:r w:rsidRPr="002665EA">
        <w:rPr>
          <w:rFonts w:ascii="メイリオ" w:eastAsia="メイリオ" w:hAnsi="メイリオ" w:cs="メイリオ" w:hint="eastAsia"/>
          <w:position w:val="2"/>
          <w:sz w:val="22"/>
        </w:rPr>
        <w:t>業務に対応した組織への見直しを図る。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２　組織の活性化に関する目標</w:t>
      </w:r>
    </w:p>
    <w:p w:rsidR="00706E7C" w:rsidRPr="002665EA" w:rsidRDefault="00706E7C" w:rsidP="00706E7C">
      <w:pPr>
        <w:spacing w:line="360" w:lineRule="exact"/>
        <w:ind w:leftChars="200" w:left="42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教職員組織の活性化を図るため、多様な優れた人材の確保</w:t>
      </w:r>
      <w:r w:rsidR="00541E28" w:rsidRPr="002665EA">
        <w:rPr>
          <w:rFonts w:ascii="メイリオ" w:eastAsia="メイリオ" w:hAnsi="メイリオ" w:cs="メイリオ" w:hint="eastAsia"/>
          <w:position w:val="2"/>
          <w:sz w:val="22"/>
        </w:rPr>
        <w:t>・</w:t>
      </w:r>
      <w:r w:rsidRPr="002665EA">
        <w:rPr>
          <w:rFonts w:ascii="メイリオ" w:eastAsia="メイリオ" w:hAnsi="メイリオ" w:cs="メイリオ" w:hint="eastAsia"/>
          <w:position w:val="2"/>
          <w:sz w:val="22"/>
        </w:rPr>
        <w:t>活用・育成・登用を行うとともに教職員に対する評価制度を適正に運用する。また、機動的・弾力的な組織運営に努めるとともに、柔軟な人事制度を創設し運用する。教職員の能力と専門性の向上を目的とした組織的・体系的なファカルティ・ディベロップメント（FD）及びスタッフ・ディベロップメント（SD）を実施す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３　施設設備の有効利用等に関する目標</w:t>
      </w:r>
    </w:p>
    <w:p w:rsidR="00706E7C" w:rsidRPr="002665EA" w:rsidRDefault="00706E7C" w:rsidP="00706E7C">
      <w:pPr>
        <w:spacing w:line="360" w:lineRule="exact"/>
        <w:ind w:firstLineChars="300" w:firstLine="66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施設設備の有効利用や機器の共同利用の方策を検討し、効率的・効果的な運用を図る。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Ⅳ　財務内容の改善に関する目標</w:t>
      </w: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lastRenderedPageBreak/>
        <w:t>１　自己収入の確保に関する目標</w:t>
      </w:r>
    </w:p>
    <w:p w:rsidR="00706E7C" w:rsidRPr="002665EA" w:rsidRDefault="00706E7C" w:rsidP="00706E7C">
      <w:pPr>
        <w:spacing w:line="360" w:lineRule="exact"/>
        <w:ind w:leftChars="200" w:left="42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外部資金獲得や寄附金確保に向けた組織的な取組</w:t>
      </w:r>
      <w:r w:rsidR="00541E28" w:rsidRPr="002665EA">
        <w:rPr>
          <w:rFonts w:ascii="メイリオ" w:eastAsia="メイリオ" w:hAnsi="メイリオ" w:cs="メイリオ" w:hint="eastAsia"/>
          <w:position w:val="2"/>
          <w:sz w:val="22"/>
        </w:rPr>
        <w:t>の強化や、適正</w:t>
      </w:r>
      <w:r w:rsidRPr="002665EA">
        <w:rPr>
          <w:rFonts w:ascii="メイリオ" w:eastAsia="メイリオ" w:hAnsi="メイリオ" w:cs="メイリオ" w:hint="eastAsia"/>
          <w:position w:val="2"/>
          <w:sz w:val="22"/>
        </w:rPr>
        <w:t>な受益者負担を検討するなど、自己収入の確保に努め、経営基盤の強化を図る。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２　経費の抑制に関する目標</w:t>
      </w:r>
    </w:p>
    <w:p w:rsidR="00706E7C" w:rsidRPr="002665EA" w:rsidRDefault="00706E7C" w:rsidP="00706E7C">
      <w:pPr>
        <w:spacing w:line="360" w:lineRule="exact"/>
        <w:ind w:leftChars="200" w:left="42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各種経営指標分析を用いた経営効率化の取組や全学的な業務改善の取組を推進するなど、</w:t>
      </w:r>
      <w:r w:rsidR="00FF3E43" w:rsidRPr="002665EA">
        <w:rPr>
          <w:rFonts w:ascii="メイリオ" w:eastAsia="メイリオ" w:hAnsi="メイリオ" w:cs="メイリオ" w:hint="eastAsia"/>
          <w:position w:val="2"/>
          <w:sz w:val="22"/>
        </w:rPr>
        <w:t>予算執行</w:t>
      </w:r>
      <w:r w:rsidRPr="002665EA">
        <w:rPr>
          <w:rFonts w:ascii="メイリオ" w:eastAsia="メイリオ" w:hAnsi="メイリオ" w:cs="メイリオ" w:hint="eastAsia"/>
          <w:position w:val="2"/>
          <w:sz w:val="22"/>
        </w:rPr>
        <w:t>の適正化を推進し、運営経費の抑制を図る。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３　運営費交付金について</w:t>
      </w:r>
    </w:p>
    <w:p w:rsidR="00706E7C" w:rsidRPr="002665EA" w:rsidRDefault="00706E7C" w:rsidP="00706E7C">
      <w:pPr>
        <w:spacing w:line="360" w:lineRule="exact"/>
        <w:ind w:leftChars="200" w:left="42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運営費交付金について</w:t>
      </w:r>
      <w:r w:rsidR="00C01D2C" w:rsidRPr="002665EA">
        <w:rPr>
          <w:rFonts w:ascii="メイリオ" w:eastAsia="メイリオ" w:hAnsi="メイリオ" w:cs="メイリオ" w:hint="eastAsia"/>
          <w:position w:val="2"/>
          <w:sz w:val="22"/>
        </w:rPr>
        <w:t>は、現状の水準は維持しながら、自己収入の確保と経費の抑制の取組</w:t>
      </w:r>
      <w:r w:rsidRPr="002665EA">
        <w:rPr>
          <w:rFonts w:ascii="メイリオ" w:eastAsia="メイリオ" w:hAnsi="メイリオ" w:cs="メイリオ" w:hint="eastAsia"/>
          <w:position w:val="2"/>
          <w:sz w:val="22"/>
        </w:rPr>
        <w:t>を継続することなどにより、引き続き適正化に努め、教育研究に必要となる運営費を確保する。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Ⅴ　自己点検・評価及び当該状況に係る情報の提供に関する目標</w:t>
      </w: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１　評価に関する目標</w:t>
      </w:r>
    </w:p>
    <w:p w:rsidR="00706E7C" w:rsidRPr="002665EA" w:rsidRDefault="00706E7C" w:rsidP="00706E7C">
      <w:pPr>
        <w:spacing w:line="360" w:lineRule="exact"/>
        <w:ind w:firstLineChars="300" w:firstLine="66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教育研究活動及び業務運営について、自己点検・評価の体制を整備し、定期的に点検・評価</w:t>
      </w:r>
      <w:r w:rsidR="00C85F9E" w:rsidRPr="002665EA">
        <w:rPr>
          <w:rFonts w:ascii="メイリオ" w:eastAsia="メイリオ" w:hAnsi="メイリオ" w:cs="メイリオ" w:hint="eastAsia"/>
          <w:position w:val="2"/>
          <w:sz w:val="22"/>
        </w:rPr>
        <w:t>を行い</w:t>
      </w:r>
      <w:r w:rsidRPr="002665EA">
        <w:rPr>
          <w:rFonts w:ascii="メイリオ" w:eastAsia="メイリオ" w:hAnsi="メイリオ" w:cs="メイリオ" w:hint="eastAsia"/>
          <w:position w:val="2"/>
          <w:sz w:val="22"/>
        </w:rPr>
        <w:t>、その結果を改善に活かす。</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２　情報の提供と戦略的広報に関する目標</w:t>
      </w:r>
    </w:p>
    <w:p w:rsidR="00706E7C" w:rsidRPr="002665EA" w:rsidRDefault="00706E7C" w:rsidP="00706E7C">
      <w:pPr>
        <w:spacing w:line="360" w:lineRule="exact"/>
        <w:ind w:leftChars="200" w:left="42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自らの諸活動について広く情報を公開し、社会への説明責任を果たすとともに、教育研究の優れた成果・実績などについて戦略的に広報活動を推進し、メディアを通じたＰＲや各種大学ランキングへの反映など、より一層のブランド力向上を図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Ⅵ　その他業務運営に関する重要目標</w:t>
      </w: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 xml:space="preserve">１　施設設備の整備等に関する目標 </w:t>
      </w:r>
    </w:p>
    <w:p w:rsidR="00706E7C" w:rsidRPr="002665EA" w:rsidRDefault="00706E7C" w:rsidP="00706E7C">
      <w:pPr>
        <w:spacing w:line="360" w:lineRule="exact"/>
        <w:ind w:leftChars="200" w:left="42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lastRenderedPageBreak/>
        <w:t>施設設備について、施設整備プラン</w:t>
      </w:r>
      <w:r w:rsidR="00C85F9E" w:rsidRPr="002665EA">
        <w:rPr>
          <w:rFonts w:ascii="メイリオ" w:eastAsia="メイリオ" w:hAnsi="メイリオ" w:cs="メイリオ" w:hint="eastAsia"/>
          <w:position w:val="2"/>
          <w:sz w:val="22"/>
        </w:rPr>
        <w:t>等</w:t>
      </w:r>
      <w:r w:rsidRPr="002665EA">
        <w:rPr>
          <w:rFonts w:ascii="メイリオ" w:eastAsia="メイリオ" w:hAnsi="メイリオ" w:cs="メイリオ" w:hint="eastAsia"/>
          <w:position w:val="2"/>
          <w:sz w:val="22"/>
        </w:rPr>
        <w:t>に基づき、耐震化や老朽化対策のための改修及び維持保全・更新を計画的に行い、教育研究環境の整備を推進する。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２　安全管理等に関する目標</w:t>
      </w:r>
    </w:p>
    <w:p w:rsidR="00706E7C" w:rsidRPr="002665EA" w:rsidRDefault="00706E7C" w:rsidP="00706E7C">
      <w:pPr>
        <w:spacing w:line="360" w:lineRule="exact"/>
        <w:ind w:leftChars="200" w:left="42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学生及び教職員が安全・安心に活動できるよう、教育研究環境を整えるとともに、学内の安全管理体制を整備する。また、安全教育や環境保全に関する研修の実施などにより、教職員及び学生に対する意識の向上を図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３　コンプライアンス･リスクマネジメントの強化に関する目標</w:t>
      </w:r>
    </w:p>
    <w:p w:rsidR="00706E7C" w:rsidRPr="002665EA" w:rsidRDefault="00706E7C" w:rsidP="00706E7C">
      <w:pPr>
        <w:spacing w:line="360" w:lineRule="exact"/>
        <w:ind w:leftChars="200" w:left="42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研究公正の推進や</w:t>
      </w:r>
      <w:r w:rsidR="00C85F9E" w:rsidRPr="002665EA">
        <w:rPr>
          <w:rFonts w:ascii="メイリオ" w:eastAsia="メイリオ" w:hAnsi="メイリオ" w:cs="メイリオ" w:hint="eastAsia"/>
          <w:position w:val="2"/>
          <w:sz w:val="22"/>
        </w:rPr>
        <w:t>研究費不正使用の防止などの不正事案の未然防止を図るため</w:t>
      </w:r>
      <w:r w:rsidRPr="002665EA">
        <w:rPr>
          <w:rFonts w:ascii="メイリオ" w:eastAsia="メイリオ" w:hAnsi="メイリオ" w:cs="メイリオ" w:hint="eastAsia"/>
          <w:position w:val="2"/>
          <w:sz w:val="22"/>
        </w:rPr>
        <w:t>、内部統制の体制を整え、コンプライアンスやリスクマネジメントを徹底するための取組を強化する。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４　人権に関する目標</w:t>
      </w:r>
    </w:p>
    <w:p w:rsidR="00706E7C" w:rsidRPr="002665EA" w:rsidRDefault="00706E7C" w:rsidP="00706E7C">
      <w:pPr>
        <w:spacing w:line="360" w:lineRule="exact"/>
        <w:ind w:leftChars="200" w:left="42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不当にも人権が侵害されて、良好な教育研究・職場環境が損なわれることがないよう、人権尊重の視点に立った全学的な取組の充実を図る。</w:t>
      </w:r>
    </w:p>
    <w:p w:rsidR="00706E7C" w:rsidRPr="002665EA" w:rsidRDefault="00706E7C" w:rsidP="00706E7C">
      <w:pPr>
        <w:spacing w:line="360" w:lineRule="exact"/>
        <w:rPr>
          <w:rFonts w:ascii="メイリオ" w:eastAsia="メイリオ" w:hAnsi="メイリオ" w:cs="メイリオ"/>
          <w:position w:val="2"/>
          <w:sz w:val="22"/>
        </w:rPr>
      </w:pPr>
    </w:p>
    <w:p w:rsidR="00706E7C" w:rsidRPr="002665EA" w:rsidRDefault="00706E7C" w:rsidP="00706E7C">
      <w:pPr>
        <w:spacing w:line="360" w:lineRule="exact"/>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 xml:space="preserve">Ⅶ　大阪市立大学との統合等に関する目標 </w:t>
      </w:r>
    </w:p>
    <w:p w:rsidR="00706E7C" w:rsidRPr="002665EA" w:rsidRDefault="00C01D2C" w:rsidP="00706E7C">
      <w:pPr>
        <w:spacing w:line="360" w:lineRule="exact"/>
        <w:ind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１　大阪市立大学との統合による新大学実現へ向けた取組</w:t>
      </w:r>
      <w:r w:rsidR="00706E7C" w:rsidRPr="002665EA">
        <w:rPr>
          <w:rFonts w:ascii="メイリオ" w:eastAsia="メイリオ" w:hAnsi="メイリオ" w:cs="メイリオ" w:hint="eastAsia"/>
          <w:position w:val="2"/>
          <w:sz w:val="22"/>
        </w:rPr>
        <w:t>の推進</w:t>
      </w:r>
    </w:p>
    <w:p w:rsidR="00706E7C" w:rsidRPr="00824B29" w:rsidRDefault="00706E7C" w:rsidP="00706E7C">
      <w:pPr>
        <w:spacing w:line="360" w:lineRule="exact"/>
        <w:ind w:leftChars="200" w:left="420" w:firstLineChars="100" w:firstLine="220"/>
        <w:rPr>
          <w:rFonts w:ascii="メイリオ" w:eastAsia="メイリオ" w:hAnsi="メイリオ" w:cs="メイリオ"/>
          <w:position w:val="2"/>
          <w:sz w:val="22"/>
        </w:rPr>
      </w:pPr>
      <w:r w:rsidRPr="002665EA">
        <w:rPr>
          <w:rFonts w:ascii="メイリオ" w:eastAsia="メイリオ" w:hAnsi="メイリオ" w:cs="メイリオ" w:hint="eastAsia"/>
          <w:position w:val="2"/>
          <w:sz w:val="22"/>
        </w:rPr>
        <w:t>世界的な大学間競争を勝ち抜き、より強い大阪を実現するための知的インフラ拠点として存在感を高めるため、「新・公立大学」大阪モデル（基本構想）を踏まえ、世界に展開する高度な研究型の公立大学を目指し、大</w:t>
      </w:r>
      <w:r w:rsidRPr="00824B29">
        <w:rPr>
          <w:rFonts w:ascii="メイリオ" w:eastAsia="メイリオ" w:hAnsi="メイリオ" w:cs="メイリオ" w:hint="eastAsia"/>
          <w:position w:val="2"/>
          <w:sz w:val="22"/>
        </w:rPr>
        <w:t>阪府、大阪市</w:t>
      </w:r>
      <w:r w:rsidR="006F22EA" w:rsidRPr="00824B29">
        <w:rPr>
          <w:rFonts w:ascii="メイリオ" w:eastAsia="メイリオ" w:hAnsi="メイリオ" w:cs="メイリオ" w:hint="eastAsia"/>
          <w:position w:val="2"/>
          <w:sz w:val="22"/>
        </w:rPr>
        <w:t>及び公立大学法人大阪市立大学と緊密に連携を図りながら、</w:t>
      </w:r>
      <w:r w:rsidRPr="00824B29">
        <w:rPr>
          <w:rFonts w:ascii="メイリオ" w:eastAsia="メイリオ" w:hAnsi="メイリオ" w:cs="メイリオ" w:hint="eastAsia"/>
          <w:position w:val="2"/>
          <w:sz w:val="22"/>
        </w:rPr>
        <w:t>法人統合から大学統合に至る準備が円滑に進むよう取</w:t>
      </w:r>
      <w:r w:rsidR="00C85F9E" w:rsidRPr="00824B29">
        <w:rPr>
          <w:rFonts w:ascii="メイリオ" w:eastAsia="メイリオ" w:hAnsi="メイリオ" w:cs="メイリオ" w:hint="eastAsia"/>
          <w:position w:val="2"/>
          <w:sz w:val="22"/>
        </w:rPr>
        <w:t>り</w:t>
      </w:r>
      <w:r w:rsidRPr="00824B29">
        <w:rPr>
          <w:rFonts w:ascii="メイリオ" w:eastAsia="メイリオ" w:hAnsi="メイリオ" w:cs="メイリオ" w:hint="eastAsia"/>
          <w:position w:val="2"/>
          <w:sz w:val="22"/>
        </w:rPr>
        <w:t>組み、</w:t>
      </w:r>
      <w:r w:rsidR="00384E97" w:rsidRPr="00824B29">
        <w:rPr>
          <w:rFonts w:ascii="メイリオ" w:eastAsia="メイリオ" w:hAnsi="メイリオ" w:cs="メイリオ" w:hint="eastAsia"/>
          <w:position w:val="2"/>
          <w:sz w:val="22"/>
        </w:rPr>
        <w:t>今中期目標期間中</w:t>
      </w:r>
      <w:r w:rsidRPr="00824B29">
        <w:rPr>
          <w:rFonts w:ascii="メイリオ" w:eastAsia="メイリオ" w:hAnsi="メイリオ" w:cs="メイリオ" w:hint="eastAsia"/>
          <w:position w:val="2"/>
          <w:sz w:val="22"/>
        </w:rPr>
        <w:t>を目途に新大学の実現を図る。</w:t>
      </w:r>
    </w:p>
    <w:p w:rsidR="00706E7C" w:rsidRPr="00824B29" w:rsidRDefault="00706E7C" w:rsidP="00706E7C">
      <w:pPr>
        <w:spacing w:line="360" w:lineRule="exact"/>
        <w:rPr>
          <w:rFonts w:ascii="メイリオ" w:eastAsia="メイリオ" w:hAnsi="メイリオ" w:cs="メイリオ"/>
          <w:position w:val="2"/>
          <w:sz w:val="22"/>
        </w:rPr>
      </w:pPr>
    </w:p>
    <w:p w:rsidR="00706E7C" w:rsidRPr="00824B29" w:rsidRDefault="00706E7C" w:rsidP="00706E7C">
      <w:pPr>
        <w:spacing w:line="360" w:lineRule="exact"/>
        <w:ind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２　大阪市立大学との連携の推進</w:t>
      </w:r>
    </w:p>
    <w:p w:rsidR="00706E7C" w:rsidRPr="00691461" w:rsidRDefault="00706E7C" w:rsidP="00706E7C">
      <w:pPr>
        <w:spacing w:line="360" w:lineRule="exact"/>
        <w:ind w:leftChars="200" w:left="420" w:firstLineChars="100" w:firstLine="220"/>
        <w:rPr>
          <w:rFonts w:ascii="メイリオ" w:eastAsia="メイリオ" w:hAnsi="メイリオ" w:cs="メイリオ"/>
          <w:position w:val="2"/>
          <w:sz w:val="22"/>
        </w:rPr>
      </w:pPr>
      <w:r w:rsidRPr="00824B29">
        <w:rPr>
          <w:rFonts w:ascii="メイリオ" w:eastAsia="メイリオ" w:hAnsi="メイリオ" w:cs="メイリオ" w:hint="eastAsia"/>
          <w:position w:val="2"/>
          <w:sz w:val="22"/>
        </w:rPr>
        <w:t>大阪市立大学との連携を強化し、法人・大学業務や教育研究の共同実施など、連携</w:t>
      </w:r>
      <w:r w:rsidRPr="00691461">
        <w:rPr>
          <w:rFonts w:ascii="メイリオ" w:eastAsia="メイリオ" w:hAnsi="メイリオ" w:cs="メイリオ" w:hint="eastAsia"/>
          <w:position w:val="2"/>
          <w:sz w:val="22"/>
        </w:rPr>
        <w:t>・共同化が可能なも</w:t>
      </w:r>
      <w:r w:rsidR="006F22EA" w:rsidRPr="00691461">
        <w:rPr>
          <w:rFonts w:ascii="メイリオ" w:eastAsia="メイリオ" w:hAnsi="メイリオ" w:cs="メイリオ" w:hint="eastAsia"/>
          <w:position w:val="2"/>
          <w:sz w:val="22"/>
        </w:rPr>
        <w:t>のについて、</w:t>
      </w:r>
      <w:r w:rsidRPr="00691461">
        <w:rPr>
          <w:rFonts w:ascii="メイリオ" w:eastAsia="メイリオ" w:hAnsi="メイリオ" w:cs="メイリオ" w:hint="eastAsia"/>
          <w:position w:val="2"/>
          <w:sz w:val="22"/>
        </w:rPr>
        <w:t>先行して実施</w:t>
      </w:r>
      <w:r w:rsidRPr="00691461">
        <w:rPr>
          <w:rFonts w:ascii="メイリオ" w:eastAsia="メイリオ" w:hAnsi="メイリオ" w:cs="メイリオ" w:hint="eastAsia"/>
          <w:position w:val="2"/>
          <w:sz w:val="22"/>
        </w:rPr>
        <w:lastRenderedPageBreak/>
        <w:t>する。</w:t>
      </w:r>
    </w:p>
    <w:p w:rsidR="00706E7C" w:rsidRPr="00691461" w:rsidRDefault="00706E7C" w:rsidP="00706E7C">
      <w:pPr>
        <w:spacing w:line="360" w:lineRule="exact"/>
        <w:rPr>
          <w:rFonts w:ascii="メイリオ" w:eastAsia="メイリオ" w:hAnsi="メイリオ" w:cs="メイリオ"/>
          <w:position w:val="2"/>
          <w:sz w:val="22"/>
        </w:rPr>
      </w:pPr>
    </w:p>
    <w:p w:rsidR="006F22EA" w:rsidRPr="00706E7C" w:rsidRDefault="006F22EA" w:rsidP="00706E7C">
      <w:pPr>
        <w:spacing w:line="360" w:lineRule="exact"/>
        <w:rPr>
          <w:rFonts w:ascii="メイリオ" w:eastAsia="メイリオ" w:hAnsi="メイリオ" w:cs="メイリオ"/>
          <w:position w:val="2"/>
          <w:sz w:val="22"/>
        </w:rPr>
      </w:pPr>
    </w:p>
    <w:p w:rsidR="003A2893" w:rsidRPr="003A2893" w:rsidRDefault="003A2893" w:rsidP="003A2893">
      <w:pPr>
        <w:spacing w:line="360" w:lineRule="exact"/>
        <w:rPr>
          <w:rFonts w:ascii="メイリオ" w:eastAsia="メイリオ" w:hAnsi="メイリオ" w:cs="メイリオ"/>
          <w:position w:val="2"/>
          <w:sz w:val="22"/>
        </w:rPr>
      </w:pPr>
      <w:r>
        <w:rPr>
          <w:rFonts w:ascii="メイリオ" w:eastAsia="メイリオ" w:hAnsi="メイリオ" w:cs="メイリオ"/>
          <w:noProof/>
          <w:position w:val="2"/>
          <w:sz w:val="22"/>
        </w:rPr>
        <mc:AlternateContent>
          <mc:Choice Requires="wps">
            <w:drawing>
              <wp:anchor distT="0" distB="0" distL="114300" distR="114300" simplePos="0" relativeHeight="251658240" behindDoc="0" locked="0" layoutInCell="1" allowOverlap="1" wp14:anchorId="60A9D127" wp14:editId="6DC9B495">
                <wp:simplePos x="0" y="0"/>
                <wp:positionH relativeFrom="column">
                  <wp:posOffset>251446</wp:posOffset>
                </wp:positionH>
                <wp:positionV relativeFrom="paragraph">
                  <wp:posOffset>211322</wp:posOffset>
                </wp:positionV>
                <wp:extent cx="6156960" cy="45923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4592320"/>
                        </a:xfrm>
                        <a:prstGeom prst="rect">
                          <a:avLst/>
                        </a:prstGeom>
                        <a:solidFill>
                          <a:srgbClr val="FFFFFF"/>
                        </a:solidFill>
                        <a:ln w="9525">
                          <a:noFill/>
                          <a:miter lim="800000"/>
                          <a:headEnd/>
                          <a:tailEnd/>
                        </a:ln>
                      </wps:spPr>
                      <wps:txbx>
                        <w:txbxContent>
                          <w:p w:rsidR="003A2893" w:rsidRPr="00EE57E6" w:rsidRDefault="003A2893" w:rsidP="00360536">
                            <w:pPr>
                              <w:rPr>
                                <w:rFonts w:ascii="ＭＳ ゴシック" w:eastAsia="ＭＳ ゴシック" w:hAnsi="ＭＳ ゴシック"/>
                                <w:sz w:val="22"/>
                              </w:rPr>
                            </w:pPr>
                            <w:r w:rsidRPr="00EE57E6">
                              <w:rPr>
                                <w:rFonts w:ascii="ＭＳ ゴシック" w:eastAsia="ＭＳ ゴシック" w:hAnsi="ＭＳ ゴシック" w:hint="eastAsia"/>
                                <w:sz w:val="22"/>
                              </w:rPr>
                              <w:t>別表（学域、学部、研究科等）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0"/>
                              <w:gridCol w:w="3600"/>
                              <w:gridCol w:w="2700"/>
                            </w:tblGrid>
                            <w:tr w:rsidR="003A2893" w:rsidRPr="00FA37E0" w:rsidTr="00684A7D">
                              <w:trPr>
                                <w:trHeight w:val="1440"/>
                              </w:trPr>
                              <w:tc>
                                <w:tcPr>
                                  <w:tcW w:w="468"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大</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学</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名</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等</w:t>
                                  </w:r>
                                </w:p>
                              </w:tc>
                              <w:tc>
                                <w:tcPr>
                                  <w:tcW w:w="6120" w:type="dxa"/>
                                  <w:gridSpan w:val="2"/>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706E7C">
                                  <w:pPr>
                                    <w:ind w:left="220" w:hangingChars="100" w:hanging="220"/>
                                    <w:jc w:val="center"/>
                                    <w:rPr>
                                      <w:rFonts w:ascii="ＭＳ ゴシック" w:eastAsia="ＭＳ ゴシック" w:hAnsi="ＭＳ ゴシック"/>
                                      <w:sz w:val="22"/>
                                    </w:rPr>
                                  </w:pPr>
                                  <w:r w:rsidRPr="00FA37E0">
                                    <w:rPr>
                                      <w:rFonts w:ascii="ＭＳ ゴシック" w:eastAsia="ＭＳ ゴシック" w:hAnsi="ＭＳ ゴシック" w:hint="eastAsia"/>
                                      <w:sz w:val="22"/>
                                    </w:rPr>
                                    <w:t>大　阪　府　立　大　学</w:t>
                                  </w:r>
                                </w:p>
                              </w:tc>
                              <w:tc>
                                <w:tcPr>
                                  <w:tcW w:w="2700" w:type="dxa"/>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684A7D">
                                  <w:pPr>
                                    <w:jc w:val="center"/>
                                    <w:rPr>
                                      <w:rFonts w:ascii="ＭＳ ゴシック" w:eastAsia="ＭＳ ゴシック" w:hAnsi="ＭＳ ゴシック"/>
                                      <w:sz w:val="22"/>
                                    </w:rPr>
                                  </w:pPr>
                                  <w:r w:rsidRPr="00FA37E0">
                                    <w:rPr>
                                      <w:rFonts w:ascii="ＭＳ ゴシック" w:eastAsia="ＭＳ ゴシック" w:hAnsi="ＭＳ ゴシック" w:hint="eastAsia"/>
                                      <w:sz w:val="22"/>
                                    </w:rPr>
                                    <w:t>大阪府立大学</w:t>
                                  </w:r>
                                </w:p>
                                <w:p w:rsidR="003A2893" w:rsidRPr="00FA37E0" w:rsidRDefault="003A2893" w:rsidP="00684A7D">
                                  <w:pPr>
                                    <w:jc w:val="center"/>
                                    <w:rPr>
                                      <w:rFonts w:ascii="ＭＳ ゴシック" w:eastAsia="ＭＳ ゴシック" w:hAnsi="ＭＳ ゴシック"/>
                                      <w:sz w:val="22"/>
                                    </w:rPr>
                                  </w:pPr>
                                  <w:r w:rsidRPr="00FA37E0">
                                    <w:rPr>
                                      <w:rFonts w:ascii="ＭＳ ゴシック" w:eastAsia="ＭＳ ゴシック" w:hAnsi="ＭＳ ゴシック" w:hint="eastAsia"/>
                                      <w:sz w:val="22"/>
                                    </w:rPr>
                                    <w:t>工業高等専門学校</w:t>
                                  </w:r>
                                </w:p>
                              </w:tc>
                            </w:tr>
                            <w:tr w:rsidR="003A2893" w:rsidRPr="00FA37E0" w:rsidTr="00684A7D">
                              <w:trPr>
                                <w:trHeight w:val="1777"/>
                              </w:trPr>
                              <w:tc>
                                <w:tcPr>
                                  <w:tcW w:w="468"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学域、学</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等</w:t>
                                  </w:r>
                                </w:p>
                              </w:tc>
                              <w:tc>
                                <w:tcPr>
                                  <w:tcW w:w="2520"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現代システム科学域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工学域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生命環境科学域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地域保健学域</w:t>
                                  </w:r>
                                </w:p>
                              </w:tc>
                              <w:tc>
                                <w:tcPr>
                                  <w:tcW w:w="3600" w:type="dxa"/>
                                  <w:shd w:val="clear" w:color="auto" w:fill="auto"/>
                                </w:tcPr>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工学部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生命環境科学部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理学部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経済学部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人間社会学部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看護学部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w:t>
                                  </w:r>
                                  <w:r>
                                    <w:rPr>
                                      <w:rFonts w:ascii="ＭＳ ゴシック" w:eastAsia="ＭＳ ゴシック" w:hAnsi="ＭＳ ゴシック" w:hint="eastAsia"/>
                                      <w:sz w:val="22"/>
                                    </w:rPr>
                                    <w:t>リハビリテーション</w:t>
                                  </w:r>
                                  <w:r w:rsidRPr="00FA37E0">
                                    <w:rPr>
                                      <w:rFonts w:ascii="ＭＳ ゴシック" w:eastAsia="ＭＳ ゴシック" w:hAnsi="ＭＳ ゴシック" w:hint="eastAsia"/>
                                      <w:sz w:val="22"/>
                                    </w:rPr>
                                    <w:t>学部</w:t>
                                  </w:r>
                                </w:p>
                              </w:tc>
                              <w:tc>
                                <w:tcPr>
                                  <w:tcW w:w="2700"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（本科）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総合工学システム学科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（専攻科）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総合工学システム専攻</w:t>
                                  </w:r>
                                </w:p>
                              </w:tc>
                            </w:tr>
                            <w:tr w:rsidR="003A2893" w:rsidRPr="00FA37E0" w:rsidTr="00684A7D">
                              <w:trPr>
                                <w:trHeight w:val="1777"/>
                              </w:trPr>
                              <w:tc>
                                <w:tcPr>
                                  <w:tcW w:w="468" w:type="dxa"/>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研</w:t>
                                  </w:r>
                                </w:p>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究</w:t>
                                  </w:r>
                                </w:p>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科</w:t>
                                  </w:r>
                                </w:p>
                              </w:tc>
                              <w:tc>
                                <w:tcPr>
                                  <w:tcW w:w="2520" w:type="dxa"/>
                                  <w:shd w:val="clear" w:color="auto" w:fill="auto"/>
                                </w:tcPr>
                                <w:p w:rsidR="003A2893" w:rsidRPr="00FA37E0" w:rsidRDefault="003A2893" w:rsidP="00684A7D">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3600" w:type="dxa"/>
                                  <w:shd w:val="clear" w:color="auto" w:fill="auto"/>
                                </w:tcPr>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工学研究科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生命環境科学研究科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理学系研究科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経済学研究科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人間社会システム科学研究科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看護学研究科</w:t>
                                  </w:r>
                                </w:p>
                                <w:p w:rsidR="003A2893" w:rsidRPr="00FA37E0"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総合リハビリテーション学研究科</w:t>
                                  </w:r>
                                </w:p>
                              </w:tc>
                              <w:tc>
                                <w:tcPr>
                                  <w:tcW w:w="2700" w:type="dxa"/>
                                  <w:shd w:val="clear" w:color="auto" w:fill="auto"/>
                                </w:tcPr>
                                <w:p w:rsidR="003A2893" w:rsidRPr="00FA37E0" w:rsidRDefault="003A2893" w:rsidP="00684A7D">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bl>
                          <w:p w:rsidR="003A2893" w:rsidRPr="00360536" w:rsidRDefault="003A2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9.8pt;margin-top:16.65pt;width:484.8pt;height:3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" stroked="f">
                <v:textbox>
                  <w:txbxContent>
                    <w:p w:rsidR="003A2893" w:rsidRPr="00EE57E6" w:rsidRDefault="003A2893" w:rsidP="00360536">
                      <w:pPr>
                        <w:rPr>
                          <w:rFonts w:ascii="ＭＳ ゴシック" w:eastAsia="ＭＳ ゴシック" w:hAnsi="ＭＳ ゴシック"/>
                          <w:sz w:val="22"/>
                        </w:rPr>
                      </w:pPr>
                      <w:r w:rsidRPr="00EE57E6">
                        <w:rPr>
                          <w:rFonts w:ascii="ＭＳ ゴシック" w:eastAsia="ＭＳ ゴシック" w:hAnsi="ＭＳ ゴシック" w:hint="eastAsia"/>
                          <w:sz w:val="22"/>
                        </w:rPr>
                        <w:t>別表（学域、学部、研究科等）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0"/>
                        <w:gridCol w:w="3600"/>
                        <w:gridCol w:w="2700"/>
                      </w:tblGrid>
                      <w:tr w:rsidR="003A2893" w:rsidRPr="00FA37E0" w:rsidTr="00684A7D">
                        <w:trPr>
                          <w:trHeight w:val="1440"/>
                        </w:trPr>
                        <w:tc>
                          <w:tcPr>
                            <w:tcW w:w="468"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大</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学</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名</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等</w:t>
                            </w:r>
                          </w:p>
                        </w:tc>
                        <w:tc>
                          <w:tcPr>
                            <w:tcW w:w="6120" w:type="dxa"/>
                            <w:gridSpan w:val="2"/>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706E7C">
                            <w:pPr>
                              <w:ind w:left="220" w:hangingChars="100" w:hanging="220"/>
                              <w:jc w:val="center"/>
                              <w:rPr>
                                <w:rFonts w:ascii="ＭＳ ゴシック" w:eastAsia="ＭＳ ゴシック" w:hAnsi="ＭＳ ゴシック"/>
                                <w:sz w:val="22"/>
                              </w:rPr>
                            </w:pPr>
                            <w:r w:rsidRPr="00FA37E0">
                              <w:rPr>
                                <w:rFonts w:ascii="ＭＳ ゴシック" w:eastAsia="ＭＳ ゴシック" w:hAnsi="ＭＳ ゴシック" w:hint="eastAsia"/>
                                <w:sz w:val="22"/>
                              </w:rPr>
                              <w:t>大　阪　府　立　大　学</w:t>
                            </w:r>
                          </w:p>
                        </w:tc>
                        <w:tc>
                          <w:tcPr>
                            <w:tcW w:w="2700" w:type="dxa"/>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684A7D">
                            <w:pPr>
                              <w:jc w:val="center"/>
                              <w:rPr>
                                <w:rFonts w:ascii="ＭＳ ゴシック" w:eastAsia="ＭＳ ゴシック" w:hAnsi="ＭＳ ゴシック"/>
                                <w:sz w:val="22"/>
                              </w:rPr>
                            </w:pPr>
                            <w:r w:rsidRPr="00FA37E0">
                              <w:rPr>
                                <w:rFonts w:ascii="ＭＳ ゴシック" w:eastAsia="ＭＳ ゴシック" w:hAnsi="ＭＳ ゴシック" w:hint="eastAsia"/>
                                <w:sz w:val="22"/>
                              </w:rPr>
                              <w:t>大阪府立大学</w:t>
                            </w:r>
                          </w:p>
                          <w:p w:rsidR="003A2893" w:rsidRPr="00FA37E0" w:rsidRDefault="003A2893" w:rsidP="00684A7D">
                            <w:pPr>
                              <w:jc w:val="center"/>
                              <w:rPr>
                                <w:rFonts w:ascii="ＭＳ ゴシック" w:eastAsia="ＭＳ ゴシック" w:hAnsi="ＭＳ ゴシック"/>
                                <w:sz w:val="22"/>
                              </w:rPr>
                            </w:pPr>
                            <w:r w:rsidRPr="00FA37E0">
                              <w:rPr>
                                <w:rFonts w:ascii="ＭＳ ゴシック" w:eastAsia="ＭＳ ゴシック" w:hAnsi="ＭＳ ゴシック" w:hint="eastAsia"/>
                                <w:sz w:val="22"/>
                              </w:rPr>
                              <w:t>工業高等専門学校</w:t>
                            </w:r>
                          </w:p>
                        </w:tc>
                      </w:tr>
                      <w:tr w:rsidR="003A2893" w:rsidRPr="00FA37E0" w:rsidTr="00684A7D">
                        <w:trPr>
                          <w:trHeight w:val="1777"/>
                        </w:trPr>
                        <w:tc>
                          <w:tcPr>
                            <w:tcW w:w="468"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学域、学</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等</w:t>
                            </w:r>
                          </w:p>
                        </w:tc>
                        <w:tc>
                          <w:tcPr>
                            <w:tcW w:w="2520"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現代システム科学域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工学域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生命環境科学域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地域保健学域</w:t>
                            </w:r>
                          </w:p>
                        </w:tc>
                        <w:tc>
                          <w:tcPr>
                            <w:tcW w:w="3600" w:type="dxa"/>
                            <w:shd w:val="clear" w:color="auto" w:fill="auto"/>
                          </w:tcPr>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工学部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生命環境科学部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理学部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経済学部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人間社会学部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看護学部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w:t>
                            </w:r>
                            <w:r>
                              <w:rPr>
                                <w:rFonts w:ascii="ＭＳ ゴシック" w:eastAsia="ＭＳ ゴシック" w:hAnsi="ＭＳ ゴシック" w:hint="eastAsia"/>
                                <w:sz w:val="22"/>
                              </w:rPr>
                              <w:t>リハビリテーション</w:t>
                            </w:r>
                            <w:r w:rsidRPr="00FA37E0">
                              <w:rPr>
                                <w:rFonts w:ascii="ＭＳ ゴシック" w:eastAsia="ＭＳ ゴシック" w:hAnsi="ＭＳ ゴシック" w:hint="eastAsia"/>
                                <w:sz w:val="22"/>
                              </w:rPr>
                              <w:t>学部</w:t>
                            </w:r>
                          </w:p>
                        </w:tc>
                        <w:tc>
                          <w:tcPr>
                            <w:tcW w:w="2700"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（本科）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総合工学システム学科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（専攻科）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総合工学システム専攻</w:t>
                            </w:r>
                          </w:p>
                        </w:tc>
                      </w:tr>
                      <w:tr w:rsidR="003A2893" w:rsidRPr="00FA37E0" w:rsidTr="00684A7D">
                        <w:trPr>
                          <w:trHeight w:val="1777"/>
                        </w:trPr>
                        <w:tc>
                          <w:tcPr>
                            <w:tcW w:w="468" w:type="dxa"/>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研</w:t>
                            </w:r>
                          </w:p>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究</w:t>
                            </w:r>
                          </w:p>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科</w:t>
                            </w:r>
                          </w:p>
                        </w:tc>
                        <w:tc>
                          <w:tcPr>
                            <w:tcW w:w="2520" w:type="dxa"/>
                            <w:shd w:val="clear" w:color="auto" w:fill="auto"/>
                          </w:tcPr>
                          <w:p w:rsidR="003A2893" w:rsidRPr="00FA37E0" w:rsidRDefault="003A2893" w:rsidP="00684A7D">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3600" w:type="dxa"/>
                            <w:shd w:val="clear" w:color="auto" w:fill="auto"/>
                          </w:tcPr>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工学研究科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生命環境科学研究科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理学系研究科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経済学研究科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人間社会システム科学研究科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看護学研究科</w:t>
                            </w:r>
                          </w:p>
                          <w:p w:rsidR="003A2893" w:rsidRPr="00FA37E0"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総合リハビリテーション学研究科</w:t>
                            </w:r>
                          </w:p>
                        </w:tc>
                        <w:tc>
                          <w:tcPr>
                            <w:tcW w:w="2700" w:type="dxa"/>
                            <w:shd w:val="clear" w:color="auto" w:fill="auto"/>
                          </w:tcPr>
                          <w:p w:rsidR="003A2893" w:rsidRPr="00FA37E0" w:rsidRDefault="003A2893" w:rsidP="00684A7D">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bl>
                    <w:p w:rsidR="003A2893" w:rsidRPr="00360536" w:rsidRDefault="003A2893"/>
                  </w:txbxContent>
                </v:textbox>
              </v:shape>
            </w:pict>
          </mc:Fallback>
        </mc:AlternateContent>
      </w:r>
    </w:p>
    <w:sectPr w:rsidR="003A2893" w:rsidRPr="003A2893" w:rsidSect="00114CDD">
      <w:footerReference w:type="default" r:id="rId7"/>
      <w:pgSz w:w="16838" w:h="11906" w:orient="landscape" w:code="9"/>
      <w:pgMar w:top="1588" w:right="1701" w:bottom="1418" w:left="170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8DB" w:rsidRDefault="00BD38DB" w:rsidP="00706E7C">
      <w:r>
        <w:separator/>
      </w:r>
    </w:p>
  </w:endnote>
  <w:endnote w:type="continuationSeparator" w:id="0">
    <w:p w:rsidR="00BD38DB" w:rsidRDefault="00BD38DB" w:rsidP="0070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353983"/>
      <w:docPartObj>
        <w:docPartGallery w:val="Page Numbers (Bottom of Page)"/>
        <w:docPartUnique/>
      </w:docPartObj>
    </w:sdtPr>
    <w:sdtEndPr/>
    <w:sdtContent>
      <w:p w:rsidR="00114CDD" w:rsidRDefault="00114CDD">
        <w:pPr>
          <w:pStyle w:val="a7"/>
          <w:jc w:val="center"/>
        </w:pPr>
        <w:r>
          <w:fldChar w:fldCharType="begin"/>
        </w:r>
        <w:r>
          <w:instrText>PAGE   \* MERGEFORMAT</w:instrText>
        </w:r>
        <w:r>
          <w:fldChar w:fldCharType="separate"/>
        </w:r>
        <w:r w:rsidR="00FD686D" w:rsidRPr="00FD686D">
          <w:rPr>
            <w:noProof/>
            <w:lang w:val="ja-JP"/>
          </w:rPr>
          <w:t>1</w:t>
        </w:r>
        <w:r>
          <w:fldChar w:fldCharType="end"/>
        </w:r>
      </w:p>
    </w:sdtContent>
  </w:sdt>
  <w:p w:rsidR="00114CDD" w:rsidRDefault="00114C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8DB" w:rsidRDefault="00BD38DB" w:rsidP="00706E7C">
      <w:r>
        <w:separator/>
      </w:r>
    </w:p>
  </w:footnote>
  <w:footnote w:type="continuationSeparator" w:id="0">
    <w:p w:rsidR="00BD38DB" w:rsidRDefault="00BD38DB" w:rsidP="00706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93"/>
    <w:rsid w:val="000260FC"/>
    <w:rsid w:val="0003765C"/>
    <w:rsid w:val="00114CDD"/>
    <w:rsid w:val="0016074F"/>
    <w:rsid w:val="00164DFE"/>
    <w:rsid w:val="001E34F0"/>
    <w:rsid w:val="002665EA"/>
    <w:rsid w:val="00384E97"/>
    <w:rsid w:val="003A2893"/>
    <w:rsid w:val="00470E8E"/>
    <w:rsid w:val="004A1843"/>
    <w:rsid w:val="00541E28"/>
    <w:rsid w:val="005E237F"/>
    <w:rsid w:val="00691461"/>
    <w:rsid w:val="006A0D6D"/>
    <w:rsid w:val="006B75EC"/>
    <w:rsid w:val="006F22EA"/>
    <w:rsid w:val="00706E7C"/>
    <w:rsid w:val="00727BDD"/>
    <w:rsid w:val="00773554"/>
    <w:rsid w:val="007E49A2"/>
    <w:rsid w:val="00824B29"/>
    <w:rsid w:val="00856692"/>
    <w:rsid w:val="008A3FD4"/>
    <w:rsid w:val="00AE18AB"/>
    <w:rsid w:val="00AF4888"/>
    <w:rsid w:val="00B07C74"/>
    <w:rsid w:val="00B60934"/>
    <w:rsid w:val="00B84EC6"/>
    <w:rsid w:val="00BD38DB"/>
    <w:rsid w:val="00C01D2C"/>
    <w:rsid w:val="00C25BE1"/>
    <w:rsid w:val="00C85F9E"/>
    <w:rsid w:val="00D27879"/>
    <w:rsid w:val="00D728D9"/>
    <w:rsid w:val="00E77744"/>
    <w:rsid w:val="00F5410B"/>
    <w:rsid w:val="00FD686D"/>
    <w:rsid w:val="00FF3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3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237F"/>
    <w:rPr>
      <w:rFonts w:asciiTheme="majorHAnsi" w:eastAsiaTheme="majorEastAsia" w:hAnsiTheme="majorHAnsi" w:cstheme="majorBidi"/>
      <w:sz w:val="18"/>
      <w:szCs w:val="18"/>
    </w:rPr>
  </w:style>
  <w:style w:type="paragraph" w:styleId="a5">
    <w:name w:val="header"/>
    <w:basedOn w:val="a"/>
    <w:link w:val="a6"/>
    <w:uiPriority w:val="99"/>
    <w:unhideWhenUsed/>
    <w:rsid w:val="00706E7C"/>
    <w:pPr>
      <w:tabs>
        <w:tab w:val="center" w:pos="4252"/>
        <w:tab w:val="right" w:pos="8504"/>
      </w:tabs>
      <w:snapToGrid w:val="0"/>
    </w:pPr>
  </w:style>
  <w:style w:type="character" w:customStyle="1" w:styleId="a6">
    <w:name w:val="ヘッダー (文字)"/>
    <w:basedOn w:val="a0"/>
    <w:link w:val="a5"/>
    <w:uiPriority w:val="99"/>
    <w:rsid w:val="00706E7C"/>
  </w:style>
  <w:style w:type="paragraph" w:styleId="a7">
    <w:name w:val="footer"/>
    <w:basedOn w:val="a"/>
    <w:link w:val="a8"/>
    <w:uiPriority w:val="99"/>
    <w:unhideWhenUsed/>
    <w:rsid w:val="00706E7C"/>
    <w:pPr>
      <w:tabs>
        <w:tab w:val="center" w:pos="4252"/>
        <w:tab w:val="right" w:pos="8504"/>
      </w:tabs>
      <w:snapToGrid w:val="0"/>
    </w:pPr>
  </w:style>
  <w:style w:type="character" w:customStyle="1" w:styleId="a8">
    <w:name w:val="フッター (文字)"/>
    <w:basedOn w:val="a0"/>
    <w:link w:val="a7"/>
    <w:uiPriority w:val="99"/>
    <w:rsid w:val="00706E7C"/>
  </w:style>
  <w:style w:type="character" w:styleId="a9">
    <w:name w:val="annotation reference"/>
    <w:uiPriority w:val="99"/>
    <w:semiHidden/>
    <w:rsid w:val="00E77744"/>
    <w:rPr>
      <w:sz w:val="18"/>
      <w:szCs w:val="18"/>
    </w:rPr>
  </w:style>
  <w:style w:type="paragraph" w:styleId="aa">
    <w:name w:val="annotation text"/>
    <w:basedOn w:val="a"/>
    <w:link w:val="ab"/>
    <w:uiPriority w:val="99"/>
    <w:semiHidden/>
    <w:rsid w:val="00E77744"/>
    <w:pPr>
      <w:jc w:val="left"/>
    </w:pPr>
    <w:rPr>
      <w:rFonts w:ascii="Century" w:eastAsia="ＭＳ 明朝" w:hAnsi="Century" w:cs="Times New Roman"/>
      <w:szCs w:val="24"/>
    </w:rPr>
  </w:style>
  <w:style w:type="character" w:customStyle="1" w:styleId="ab">
    <w:name w:val="コメント文字列 (文字)"/>
    <w:basedOn w:val="a0"/>
    <w:link w:val="aa"/>
    <w:uiPriority w:val="99"/>
    <w:semiHidden/>
    <w:rsid w:val="00E77744"/>
    <w:rPr>
      <w:rFonts w:ascii="Century" w:eastAsia="ＭＳ 明朝" w:hAnsi="Century" w:cs="Times New Roman"/>
      <w:szCs w:val="24"/>
    </w:rPr>
  </w:style>
  <w:style w:type="paragraph" w:styleId="ac">
    <w:name w:val="annotation subject"/>
    <w:basedOn w:val="aa"/>
    <w:next w:val="aa"/>
    <w:link w:val="ad"/>
    <w:uiPriority w:val="99"/>
    <w:semiHidden/>
    <w:unhideWhenUsed/>
    <w:rsid w:val="00F5410B"/>
    <w:rPr>
      <w:rFonts w:asciiTheme="minorHAnsi" w:eastAsiaTheme="minorEastAsia" w:hAnsiTheme="minorHAnsi" w:cstheme="minorBidi"/>
      <w:b/>
      <w:bCs/>
      <w:szCs w:val="22"/>
    </w:rPr>
  </w:style>
  <w:style w:type="character" w:customStyle="1" w:styleId="ad">
    <w:name w:val="コメント内容 (文字)"/>
    <w:basedOn w:val="ab"/>
    <w:link w:val="ac"/>
    <w:uiPriority w:val="99"/>
    <w:semiHidden/>
    <w:rsid w:val="00F5410B"/>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3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237F"/>
    <w:rPr>
      <w:rFonts w:asciiTheme="majorHAnsi" w:eastAsiaTheme="majorEastAsia" w:hAnsiTheme="majorHAnsi" w:cstheme="majorBidi"/>
      <w:sz w:val="18"/>
      <w:szCs w:val="18"/>
    </w:rPr>
  </w:style>
  <w:style w:type="paragraph" w:styleId="a5">
    <w:name w:val="header"/>
    <w:basedOn w:val="a"/>
    <w:link w:val="a6"/>
    <w:uiPriority w:val="99"/>
    <w:unhideWhenUsed/>
    <w:rsid w:val="00706E7C"/>
    <w:pPr>
      <w:tabs>
        <w:tab w:val="center" w:pos="4252"/>
        <w:tab w:val="right" w:pos="8504"/>
      </w:tabs>
      <w:snapToGrid w:val="0"/>
    </w:pPr>
  </w:style>
  <w:style w:type="character" w:customStyle="1" w:styleId="a6">
    <w:name w:val="ヘッダー (文字)"/>
    <w:basedOn w:val="a0"/>
    <w:link w:val="a5"/>
    <w:uiPriority w:val="99"/>
    <w:rsid w:val="00706E7C"/>
  </w:style>
  <w:style w:type="paragraph" w:styleId="a7">
    <w:name w:val="footer"/>
    <w:basedOn w:val="a"/>
    <w:link w:val="a8"/>
    <w:uiPriority w:val="99"/>
    <w:unhideWhenUsed/>
    <w:rsid w:val="00706E7C"/>
    <w:pPr>
      <w:tabs>
        <w:tab w:val="center" w:pos="4252"/>
        <w:tab w:val="right" w:pos="8504"/>
      </w:tabs>
      <w:snapToGrid w:val="0"/>
    </w:pPr>
  </w:style>
  <w:style w:type="character" w:customStyle="1" w:styleId="a8">
    <w:name w:val="フッター (文字)"/>
    <w:basedOn w:val="a0"/>
    <w:link w:val="a7"/>
    <w:uiPriority w:val="99"/>
    <w:rsid w:val="00706E7C"/>
  </w:style>
  <w:style w:type="character" w:styleId="a9">
    <w:name w:val="annotation reference"/>
    <w:uiPriority w:val="99"/>
    <w:semiHidden/>
    <w:rsid w:val="00E77744"/>
    <w:rPr>
      <w:sz w:val="18"/>
      <w:szCs w:val="18"/>
    </w:rPr>
  </w:style>
  <w:style w:type="paragraph" w:styleId="aa">
    <w:name w:val="annotation text"/>
    <w:basedOn w:val="a"/>
    <w:link w:val="ab"/>
    <w:uiPriority w:val="99"/>
    <w:semiHidden/>
    <w:rsid w:val="00E77744"/>
    <w:pPr>
      <w:jc w:val="left"/>
    </w:pPr>
    <w:rPr>
      <w:rFonts w:ascii="Century" w:eastAsia="ＭＳ 明朝" w:hAnsi="Century" w:cs="Times New Roman"/>
      <w:szCs w:val="24"/>
    </w:rPr>
  </w:style>
  <w:style w:type="character" w:customStyle="1" w:styleId="ab">
    <w:name w:val="コメント文字列 (文字)"/>
    <w:basedOn w:val="a0"/>
    <w:link w:val="aa"/>
    <w:uiPriority w:val="99"/>
    <w:semiHidden/>
    <w:rsid w:val="00E77744"/>
    <w:rPr>
      <w:rFonts w:ascii="Century" w:eastAsia="ＭＳ 明朝" w:hAnsi="Century" w:cs="Times New Roman"/>
      <w:szCs w:val="24"/>
    </w:rPr>
  </w:style>
  <w:style w:type="paragraph" w:styleId="ac">
    <w:name w:val="annotation subject"/>
    <w:basedOn w:val="aa"/>
    <w:next w:val="aa"/>
    <w:link w:val="ad"/>
    <w:uiPriority w:val="99"/>
    <w:semiHidden/>
    <w:unhideWhenUsed/>
    <w:rsid w:val="00F5410B"/>
    <w:rPr>
      <w:rFonts w:asciiTheme="minorHAnsi" w:eastAsiaTheme="minorEastAsia" w:hAnsiTheme="minorHAnsi" w:cstheme="minorBidi"/>
      <w:b/>
      <w:bCs/>
      <w:szCs w:val="22"/>
    </w:rPr>
  </w:style>
  <w:style w:type="character" w:customStyle="1" w:styleId="ad">
    <w:name w:val="コメント内容 (文字)"/>
    <w:basedOn w:val="ab"/>
    <w:link w:val="ac"/>
    <w:uiPriority w:val="99"/>
    <w:semiHidden/>
    <w:rsid w:val="00F5410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800</Words>
  <Characters>4563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2016-06-07T04:10:00Z</cp:lastPrinted>
  <dcterms:created xsi:type="dcterms:W3CDTF">2016-08-26T05:36:00Z</dcterms:created>
  <dcterms:modified xsi:type="dcterms:W3CDTF">2016-08-30T02:11:00Z</dcterms:modified>
</cp:coreProperties>
</file>