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C650" w14:textId="1AF770C0" w:rsidR="00C36A3D" w:rsidRPr="007E3BA2" w:rsidRDefault="007E3BA2" w:rsidP="007E3BA2">
      <w:pPr>
        <w:pStyle w:val="10"/>
        <w:shd w:val="clear" w:color="auto" w:fill="auto"/>
        <w:ind w:left="7960"/>
        <w:jc w:val="right"/>
        <w:rPr>
          <w:sz w:val="22"/>
          <w:szCs w:val="22"/>
          <w:lang w:val="en-US" w:eastAsia="en-US" w:bidi="en-US"/>
        </w:rPr>
      </w:pPr>
      <w:r w:rsidRPr="007E3BA2">
        <w:rPr>
          <w:sz w:val="22"/>
          <w:szCs w:val="22"/>
          <w:lang w:val="en-US" w:eastAsia="en-US" w:bidi="en-US"/>
        </w:rPr>
        <w:t>令和２年１０月</w:t>
      </w:r>
    </w:p>
    <w:p w14:paraId="21AD3A9C" w14:textId="06EA8C2C" w:rsidR="007E3BA2" w:rsidRPr="007E3BA2" w:rsidRDefault="007E3BA2" w:rsidP="007E3BA2">
      <w:pPr>
        <w:pStyle w:val="10"/>
        <w:shd w:val="clear" w:color="auto" w:fill="auto"/>
        <w:ind w:left="7960"/>
        <w:jc w:val="right"/>
        <w:rPr>
          <w:sz w:val="16"/>
          <w:szCs w:val="16"/>
        </w:rPr>
      </w:pPr>
      <w:r w:rsidRPr="007E3BA2">
        <w:rPr>
          <w:rFonts w:hint="eastAsia"/>
          <w:sz w:val="16"/>
          <w:szCs w:val="16"/>
          <w:lang w:val="en-US" w:bidi="en-US"/>
        </w:rPr>
        <w:t>（令和６年４月一部修正）</w:t>
      </w:r>
    </w:p>
    <w:p w14:paraId="182ED251" w14:textId="77777777" w:rsidR="00C36A3D" w:rsidRDefault="007E3BA2" w:rsidP="007E3BA2">
      <w:pPr>
        <w:pStyle w:val="10"/>
        <w:shd w:val="clear" w:color="auto" w:fill="auto"/>
        <w:ind w:left="7720"/>
        <w:jc w:val="right"/>
      </w:pPr>
      <w:r>
        <w:t>大阪府河川整備課</w:t>
      </w:r>
    </w:p>
    <w:p w14:paraId="57472C70" w14:textId="68E3BF41" w:rsidR="00C36A3D" w:rsidRDefault="007E3BA2">
      <w:pPr>
        <w:pStyle w:val="10"/>
        <w:shd w:val="clear" w:color="auto" w:fill="auto"/>
        <w:spacing w:after="340"/>
      </w:pPr>
      <w:r>
        <w:t>■</w:t>
      </w:r>
      <w:r>
        <w:t>洪水浸水想定区域図等の概要と主な記載情報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566"/>
        <w:gridCol w:w="566"/>
        <w:gridCol w:w="4163"/>
        <w:gridCol w:w="4352"/>
      </w:tblGrid>
      <w:tr w:rsidR="00C36A3D" w14:paraId="34C4AB1D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0BBAC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図の名称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CA068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洪水浸水想定区域図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9757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洪水リスク表示図</w:t>
            </w:r>
          </w:p>
        </w:tc>
      </w:tr>
      <w:tr w:rsidR="00C36A3D" w14:paraId="66BD7A70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54E73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根拠法令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F8697" w14:textId="77777777" w:rsidR="00C36A3D" w:rsidRDefault="007E3BA2" w:rsidP="00036EA8">
            <w:pPr>
              <w:pStyle w:val="12"/>
              <w:shd w:val="clear" w:color="auto" w:fill="auto"/>
              <w:spacing w:after="0"/>
            </w:pPr>
            <w:r>
              <w:t>・水防法第</w:t>
            </w:r>
            <w:r>
              <w:t>14</w:t>
            </w:r>
            <w:r>
              <w:t>条に基づく図面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2F97" w14:textId="77777777" w:rsidR="00C36A3D" w:rsidRDefault="007E3BA2">
            <w:pPr>
              <w:pStyle w:val="12"/>
              <w:shd w:val="clear" w:color="auto" w:fill="auto"/>
              <w:spacing w:after="0"/>
            </w:pPr>
            <w:r>
              <w:t>・府独自で作成する図面</w:t>
            </w:r>
          </w:p>
        </w:tc>
      </w:tr>
      <w:tr w:rsidR="00C36A3D" w14:paraId="4CCF40AD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2348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EF893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概要・目的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9C3BF" w14:textId="77777777" w:rsidR="000A4DB3" w:rsidRDefault="007E3BA2" w:rsidP="00036EA8">
            <w:pPr>
              <w:pStyle w:val="12"/>
              <w:shd w:val="clear" w:color="auto" w:fill="auto"/>
              <w:ind w:left="40"/>
            </w:pPr>
            <w:r>
              <w:t>・想定最大規模降雨による洪水浸水想定</w:t>
            </w:r>
            <w:r>
              <w:t>区域と浸水した場合に想定される水深</w:t>
            </w:r>
            <w:r>
              <w:t>を表示した図面。</w:t>
            </w:r>
          </w:p>
          <w:p w14:paraId="2D6B6D81" w14:textId="57831598" w:rsidR="00C36A3D" w:rsidRDefault="007E3BA2" w:rsidP="000A4DB3">
            <w:pPr>
              <w:pStyle w:val="12"/>
              <w:shd w:val="clear" w:color="auto" w:fill="auto"/>
              <w:ind w:left="40"/>
            </w:pPr>
            <w:r>
              <w:t>・関係市町村や地下街等の所有者等が、</w:t>
            </w:r>
            <w:r>
              <w:t>洪水時の円滑かつ迅速な避難の確保及</w:t>
            </w:r>
            <w:r>
              <w:t>び浸水を防止することにより、水災に</w:t>
            </w:r>
            <w:r>
              <w:t>よる被害の軽減を図ることを目的とす</w:t>
            </w:r>
            <w:r w:rsidR="00036EA8">
              <w:rPr>
                <w:rFonts w:hint="eastAsia"/>
              </w:rPr>
              <w:t>る。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40BA" w14:textId="3A688E6B" w:rsidR="000A4DB3" w:rsidRDefault="007E3BA2" w:rsidP="000A4DB3">
            <w:pPr>
              <w:pStyle w:val="12"/>
              <w:shd w:val="clear" w:color="auto" w:fill="auto"/>
              <w:ind w:left="220" w:hangingChars="100" w:hanging="220"/>
            </w:pPr>
            <w:r>
              <w:t>・人命を守ること</w:t>
            </w:r>
            <w:r w:rsidR="000A4DB3">
              <w:rPr>
                <w:rFonts w:hint="eastAsia"/>
              </w:rPr>
              <w:t>を</w:t>
            </w:r>
            <w:r>
              <w:t>最優先に様々な降雨に</w:t>
            </w:r>
            <w:r>
              <w:t>より想定される河川の氾濫や浸水の可</w:t>
            </w:r>
            <w:r>
              <w:t>能性を府民にわかりやすく提示するた</w:t>
            </w:r>
            <w:r>
              <w:t>めの図面。</w:t>
            </w:r>
          </w:p>
          <w:p w14:paraId="20D95644" w14:textId="7C6EE709" w:rsidR="00C36A3D" w:rsidRDefault="007E3BA2" w:rsidP="000A4DB3">
            <w:pPr>
              <w:pStyle w:val="12"/>
              <w:shd w:val="clear" w:color="auto" w:fill="auto"/>
              <w:ind w:left="220" w:hangingChars="100" w:hanging="220"/>
            </w:pPr>
            <w:r>
              <w:t>・地先における河川氾濫や浸水の可能性</w:t>
            </w:r>
            <w:r>
              <w:t>を示し、地域住民の方々と情報共有す</w:t>
            </w:r>
            <w:r>
              <w:t>るとともに、生命を守るための避難行</w:t>
            </w:r>
            <w:r>
              <w:t>動に繋げることを目的とする。</w:t>
            </w:r>
          </w:p>
        </w:tc>
      </w:tr>
      <w:tr w:rsidR="00C36A3D" w14:paraId="62A61F6F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0FBBF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作成・公表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6B27E" w14:textId="77777777" w:rsidR="00C36A3D" w:rsidRDefault="007E3BA2">
            <w:pPr>
              <w:pStyle w:val="12"/>
              <w:shd w:val="clear" w:color="auto" w:fill="auto"/>
              <w:spacing w:after="0"/>
            </w:pPr>
            <w:r>
              <w:rPr>
                <w:lang w:val="en-US" w:bidi="en-US"/>
              </w:rPr>
              <w:t>・平成</w:t>
            </w:r>
            <w:r>
              <w:rPr>
                <w:lang w:val="en-US" w:bidi="en-US"/>
              </w:rPr>
              <w:t>29</w:t>
            </w:r>
            <w:r>
              <w:rPr>
                <w:lang w:val="en-US" w:bidi="en-US"/>
              </w:rPr>
              <w:t>年度～令和３年度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5906" w14:textId="77777777" w:rsidR="00C36A3D" w:rsidRDefault="007E3BA2">
            <w:pPr>
              <w:pStyle w:val="12"/>
              <w:shd w:val="clear" w:color="auto" w:fill="auto"/>
              <w:spacing w:after="0"/>
            </w:pPr>
            <w:r>
              <w:t>・同左</w:t>
            </w:r>
          </w:p>
        </w:tc>
      </w:tr>
      <w:tr w:rsidR="00C36A3D" w14:paraId="30D56B12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0C084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対象河川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63D9B" w14:textId="1991D2CB" w:rsidR="00C36A3D" w:rsidRDefault="007E3BA2">
            <w:pPr>
              <w:pStyle w:val="12"/>
              <w:shd w:val="clear" w:color="auto" w:fill="auto"/>
              <w:spacing w:after="0"/>
            </w:pPr>
            <w:r>
              <w:rPr>
                <w:lang w:val="en-US" w:bidi="en-US"/>
              </w:rPr>
              <w:t>・１５４河川</w:t>
            </w:r>
            <w:r w:rsidR="000A4DB3">
              <w:rPr>
                <w:rFonts w:hint="eastAsia"/>
                <w:lang w:val="en-US" w:bidi="en-US"/>
              </w:rPr>
              <w:t>（</w:t>
            </w:r>
            <w:r>
              <w:rPr>
                <w:lang w:val="en-US" w:bidi="en-US"/>
              </w:rPr>
              <w:t>府管理全河川</w:t>
            </w:r>
            <w:r w:rsidR="000A4DB3">
              <w:rPr>
                <w:rFonts w:hint="eastAsia"/>
                <w:lang w:val="en-US" w:bidi="en-US"/>
              </w:rPr>
              <w:t>）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18E1" w14:textId="77777777" w:rsidR="00C36A3D" w:rsidRDefault="007E3BA2">
            <w:pPr>
              <w:pStyle w:val="12"/>
              <w:shd w:val="clear" w:color="auto" w:fill="auto"/>
              <w:spacing w:after="0"/>
            </w:pPr>
            <w:r>
              <w:t>・同左</w:t>
            </w:r>
          </w:p>
        </w:tc>
      </w:tr>
      <w:tr w:rsidR="00C36A3D" w14:paraId="3DD566A2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920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96AA2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解析条件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C7B33" w14:textId="58138260" w:rsidR="00C36A3D" w:rsidRDefault="007E3BA2">
            <w:pPr>
              <w:pStyle w:val="12"/>
              <w:shd w:val="clear" w:color="auto" w:fill="auto"/>
              <w:spacing w:before="80" w:after="0"/>
            </w:pPr>
            <w:r>
              <w:t>・河川</w:t>
            </w:r>
            <w:r w:rsidR="00036EA8">
              <w:rPr>
                <w:rFonts w:hint="eastAsia"/>
              </w:rPr>
              <w:t>（</w:t>
            </w:r>
            <w:r>
              <w:t>外水</w:t>
            </w:r>
            <w:r w:rsidR="00036EA8">
              <w:rPr>
                <w:rFonts w:hint="eastAsia"/>
              </w:rPr>
              <w:t>）</w:t>
            </w:r>
            <w:r>
              <w:t>の氾濫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5621" w14:textId="09D0AAAC" w:rsidR="00C36A3D" w:rsidRDefault="007E3BA2">
            <w:pPr>
              <w:pStyle w:val="12"/>
              <w:shd w:val="clear" w:color="auto" w:fill="auto"/>
            </w:pPr>
            <w:r>
              <w:t>・河川</w:t>
            </w:r>
            <w:r w:rsidR="000A4DB3">
              <w:rPr>
                <w:rFonts w:hint="eastAsia"/>
              </w:rPr>
              <w:t>（</w:t>
            </w:r>
            <w:r>
              <w:t>外水</w:t>
            </w:r>
            <w:r w:rsidR="000A4DB3">
              <w:rPr>
                <w:rFonts w:hint="eastAsia"/>
              </w:rPr>
              <w:t>）</w:t>
            </w:r>
            <w:r>
              <w:t>の氾濫</w:t>
            </w:r>
          </w:p>
          <w:p w14:paraId="36037612" w14:textId="595B02F8" w:rsidR="00C36A3D" w:rsidRDefault="007E3BA2" w:rsidP="000A4DB3">
            <w:pPr>
              <w:pStyle w:val="12"/>
              <w:shd w:val="clear" w:color="auto" w:fill="auto"/>
            </w:pPr>
            <w:r>
              <w:rPr>
                <w:lang w:val="en-US" w:bidi="en-US"/>
              </w:rPr>
              <w:t>※</w:t>
            </w:r>
            <w:r>
              <w:rPr>
                <w:lang w:val="en-US" w:bidi="en-US"/>
              </w:rPr>
              <w:t>寝屋川流域の８河川は、下水道等</w:t>
            </w:r>
            <w:r w:rsidR="000A4DB3">
              <w:rPr>
                <w:rFonts w:hint="eastAsia"/>
                <w:lang w:val="en-US" w:bidi="en-US"/>
              </w:rPr>
              <w:t xml:space="preserve">　　（</w:t>
            </w:r>
            <w:r>
              <w:t>内水</w:t>
            </w:r>
            <w:r w:rsidR="000A4DB3">
              <w:rPr>
                <w:rFonts w:hint="eastAsia"/>
              </w:rPr>
              <w:t>）</w:t>
            </w:r>
            <w:r>
              <w:t>の氾濫を含む</w:t>
            </w:r>
          </w:p>
        </w:tc>
      </w:tr>
      <w:tr w:rsidR="00C36A3D" w14:paraId="109565C4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31E71" w14:textId="41A29B6D" w:rsidR="00C36A3D" w:rsidRDefault="007E3BA2" w:rsidP="000A4DB3">
            <w:pPr>
              <w:pStyle w:val="12"/>
              <w:shd w:val="clear" w:color="auto" w:fill="auto"/>
              <w:spacing w:after="0"/>
              <w:jc w:val="center"/>
            </w:pPr>
            <w:r>
              <w:t>記</w:t>
            </w:r>
            <w:r>
              <w:t>載</w:t>
            </w:r>
            <w:r>
              <w:t>情</w:t>
            </w:r>
            <w:r>
              <w:t>報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39B7C" w14:textId="77777777" w:rsidR="00C36A3D" w:rsidRDefault="007E3BA2">
            <w:pPr>
              <w:pStyle w:val="12"/>
              <w:shd w:val="clear" w:color="auto" w:fill="auto"/>
              <w:jc w:val="center"/>
            </w:pPr>
            <w:r>
              <w:t>最</w:t>
            </w:r>
            <w:r>
              <w:t>大</w:t>
            </w:r>
          </w:p>
          <w:p w14:paraId="2270B3FF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浸水深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69D51" w14:textId="3D26FFD7" w:rsidR="00C36A3D" w:rsidRDefault="007E3BA2" w:rsidP="000A4DB3">
            <w:pPr>
              <w:pStyle w:val="12"/>
              <w:shd w:val="clear" w:color="auto" w:fill="auto"/>
              <w:ind w:left="40"/>
            </w:pPr>
            <w:r>
              <w:t>・浸水した場合に想定される最大の水深</w:t>
            </w:r>
            <w:r>
              <w:rPr>
                <w:b/>
                <w:bCs/>
              </w:rPr>
              <w:t>【年超過確率</w:t>
            </w:r>
            <w:r>
              <w:rPr>
                <w:b/>
                <w:bCs/>
              </w:rPr>
              <w:t>1/100</w:t>
            </w:r>
            <w:r w:rsidR="00036EA8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計画規模</w:t>
            </w:r>
            <w:r w:rsidR="00036EA8">
              <w:rPr>
                <w:rFonts w:hint="eastAsia"/>
                <w:b/>
                <w:bCs/>
              </w:rPr>
              <w:t>）</w:t>
            </w:r>
            <w:r>
              <w:rPr>
                <w:b/>
                <w:bCs/>
              </w:rPr>
              <w:t>と</w:t>
            </w:r>
            <w:r>
              <w:rPr>
                <w:b/>
                <w:bCs/>
              </w:rPr>
              <w:t>1/1,000</w:t>
            </w:r>
            <w:r w:rsidR="00036EA8">
              <w:rPr>
                <w:rFonts w:hint="eastAsia"/>
                <w:b/>
                <w:bCs/>
              </w:rPr>
              <w:t>以下（</w:t>
            </w:r>
            <w:r>
              <w:rPr>
                <w:b/>
                <w:bCs/>
              </w:rPr>
              <w:t>想定最大規模</w:t>
            </w:r>
            <w:r w:rsidR="00036EA8">
              <w:rPr>
                <w:rFonts w:hint="eastAsia"/>
                <w:b/>
                <w:bCs/>
              </w:rPr>
              <w:t>）</w:t>
            </w:r>
            <w:r>
              <w:rPr>
                <w:b/>
                <w:bCs/>
              </w:rPr>
              <w:t>の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ケ</w:t>
            </w:r>
            <w:r>
              <w:rPr>
                <w:b/>
                <w:bCs/>
              </w:rPr>
              <w:t>ース】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3AE0" w14:textId="4F465E05" w:rsidR="00C36A3D" w:rsidRDefault="007E3BA2" w:rsidP="000A4DB3">
            <w:pPr>
              <w:pStyle w:val="12"/>
              <w:shd w:val="clear" w:color="auto" w:fill="auto"/>
              <w:ind w:left="220" w:hangingChars="100" w:hanging="220"/>
            </w:pPr>
            <w:r>
              <w:t>・浸水した場合に想定される最大の水深</w:t>
            </w:r>
            <w:r>
              <w:rPr>
                <w:b/>
                <w:bCs/>
              </w:rPr>
              <w:t>【年超過確率</w:t>
            </w:r>
            <w:r>
              <w:rPr>
                <w:b/>
                <w:bCs/>
              </w:rPr>
              <w:t>1/10</w:t>
            </w:r>
            <w:r>
              <w:rPr>
                <w:b/>
                <w:bCs/>
              </w:rPr>
              <w:t>、</w:t>
            </w:r>
            <w:r>
              <w:rPr>
                <w:b/>
                <w:bCs/>
              </w:rPr>
              <w:t>1/30</w:t>
            </w:r>
            <w:r>
              <w:rPr>
                <w:b/>
                <w:bCs/>
              </w:rPr>
              <w:t>、</w:t>
            </w:r>
            <w:r>
              <w:rPr>
                <w:b/>
                <w:bCs/>
              </w:rPr>
              <w:t>1/100</w:t>
            </w:r>
            <w:r w:rsidR="000A4DB3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計画規模</w:t>
            </w:r>
            <w:r w:rsidR="000A4DB3">
              <w:rPr>
                <w:rFonts w:hint="eastAsia"/>
                <w:b/>
                <w:bCs/>
              </w:rPr>
              <w:t>）</w:t>
            </w:r>
            <w:r>
              <w:rPr>
                <w:b/>
                <w:bCs/>
              </w:rPr>
              <w:t>、</w:t>
            </w:r>
            <w:r>
              <w:rPr>
                <w:b/>
                <w:bCs/>
              </w:rPr>
              <w:t>1/1,000</w:t>
            </w:r>
            <w:r w:rsidR="000A4DB3">
              <w:rPr>
                <w:rFonts w:hint="eastAsia"/>
                <w:b/>
                <w:bCs/>
              </w:rPr>
              <w:t>以下（</w:t>
            </w:r>
            <w:r>
              <w:rPr>
                <w:b/>
                <w:bCs/>
              </w:rPr>
              <w:t>想定最</w:t>
            </w:r>
            <w:r>
              <w:rPr>
                <w:b/>
                <w:bCs/>
                <w:lang w:val="en-US" w:bidi="en-US"/>
              </w:rPr>
              <w:t>大規模</w:t>
            </w:r>
            <w:r w:rsidR="000A4DB3">
              <w:rPr>
                <w:rFonts w:hint="eastAsia"/>
                <w:b/>
                <w:bCs/>
                <w:lang w:val="en-US" w:bidi="en-US"/>
              </w:rPr>
              <w:t>）</w:t>
            </w:r>
            <w:r>
              <w:rPr>
                <w:b/>
                <w:bCs/>
                <w:lang w:val="en-US" w:bidi="en-US"/>
              </w:rPr>
              <w:t>の４ケース】</w:t>
            </w:r>
          </w:p>
        </w:tc>
      </w:tr>
      <w:tr w:rsidR="00C36A3D" w14:paraId="4BB4C837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6DC121" w14:textId="77777777" w:rsidR="00C36A3D" w:rsidRDefault="00C36A3D">
            <w:pPr>
              <w:rPr>
                <w:lang w:eastAsia="ja-JP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FDDD7" w14:textId="77777777" w:rsidR="000A4DB3" w:rsidRDefault="007E3BA2" w:rsidP="000A4DB3">
            <w:pPr>
              <w:pStyle w:val="12"/>
              <w:shd w:val="clear" w:color="auto" w:fill="auto"/>
              <w:jc w:val="center"/>
            </w:pPr>
            <w:r>
              <w:t>地先の</w:t>
            </w:r>
          </w:p>
          <w:p w14:paraId="32F29636" w14:textId="39E4E632" w:rsidR="00C36A3D" w:rsidRDefault="007E3BA2" w:rsidP="000A4DB3">
            <w:pPr>
              <w:pStyle w:val="12"/>
              <w:shd w:val="clear" w:color="auto" w:fill="auto"/>
              <w:jc w:val="center"/>
            </w:pPr>
            <w:r>
              <w:t>危険度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9571B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―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0246" w14:textId="3FFE77E9" w:rsidR="00C36A3D" w:rsidRDefault="007E3BA2" w:rsidP="000A4DB3">
            <w:pPr>
              <w:pStyle w:val="12"/>
              <w:shd w:val="clear" w:color="auto" w:fill="auto"/>
              <w:ind w:left="220" w:hangingChars="100" w:hanging="220"/>
            </w:pPr>
            <w:r>
              <w:t>・最大浸水深と氾濫水の流体力で評価</w:t>
            </w:r>
            <w:r w:rsidR="000A4DB3">
              <w:rPr>
                <w:rFonts w:hint="eastAsia"/>
              </w:rPr>
              <w:t xml:space="preserve">　　</w:t>
            </w:r>
            <w:r>
              <w:t>した指標</w:t>
            </w:r>
          </w:p>
          <w:p w14:paraId="7C2CFEFC" w14:textId="77777777" w:rsidR="00C36A3D" w:rsidRDefault="007E3BA2">
            <w:pPr>
              <w:pStyle w:val="12"/>
              <w:shd w:val="clear" w:color="auto" w:fill="auto"/>
              <w:ind w:left="260"/>
            </w:pPr>
            <w:r>
              <w:rPr>
                <w:b/>
                <w:bCs/>
              </w:rPr>
              <w:t>【年超過確率</w:t>
            </w:r>
            <w:r>
              <w:rPr>
                <w:b/>
                <w:bCs/>
              </w:rPr>
              <w:t>1/10</w:t>
            </w:r>
            <w:r>
              <w:rPr>
                <w:b/>
                <w:bCs/>
              </w:rPr>
              <w:t>、</w:t>
            </w:r>
            <w:r>
              <w:rPr>
                <w:b/>
                <w:bCs/>
              </w:rPr>
              <w:t>1/30</w:t>
            </w:r>
            <w:r>
              <w:rPr>
                <w:b/>
                <w:bCs/>
              </w:rPr>
              <w:t>、</w:t>
            </w:r>
            <w:r>
              <w:rPr>
                <w:b/>
                <w:bCs/>
              </w:rPr>
              <w:t>1/100</w:t>
            </w:r>
          </w:p>
          <w:p w14:paraId="3B551FE1" w14:textId="098B330C" w:rsidR="00C36A3D" w:rsidRDefault="000A4DB3" w:rsidP="000A4DB3">
            <w:pPr>
              <w:pStyle w:val="12"/>
              <w:shd w:val="clear" w:color="auto" w:fill="auto"/>
              <w:ind w:leftChars="100" w:left="240"/>
            </w:pPr>
            <w:r>
              <w:rPr>
                <w:rFonts w:hint="eastAsia"/>
                <w:b/>
                <w:bCs/>
              </w:rPr>
              <w:t>（</w:t>
            </w:r>
            <w:r w:rsidR="007E3BA2">
              <w:rPr>
                <w:b/>
                <w:bCs/>
              </w:rPr>
              <w:t>計画規模</w:t>
            </w:r>
            <w:r>
              <w:rPr>
                <w:rFonts w:hint="eastAsia"/>
                <w:b/>
                <w:bCs/>
              </w:rPr>
              <w:t>）</w:t>
            </w:r>
            <w:r w:rsidR="007E3BA2">
              <w:rPr>
                <w:b/>
                <w:bCs/>
              </w:rPr>
              <w:t>、</w:t>
            </w:r>
            <w:r w:rsidR="007E3BA2">
              <w:rPr>
                <w:b/>
                <w:bCs/>
              </w:rPr>
              <w:t>1/1,000</w:t>
            </w:r>
            <w:r>
              <w:rPr>
                <w:rFonts w:hint="eastAsia"/>
                <w:b/>
                <w:bCs/>
              </w:rPr>
              <w:t>以下（</w:t>
            </w:r>
            <w:r w:rsidR="007E3BA2">
              <w:rPr>
                <w:b/>
                <w:bCs/>
              </w:rPr>
              <w:t>想定最</w:t>
            </w:r>
            <w:r w:rsidR="007E3BA2">
              <w:rPr>
                <w:b/>
                <w:bCs/>
                <w:lang w:val="en-US" w:bidi="en-US"/>
              </w:rPr>
              <w:t>大規模</w:t>
            </w:r>
            <w:r>
              <w:rPr>
                <w:rFonts w:hint="eastAsia"/>
                <w:b/>
                <w:bCs/>
                <w:lang w:val="en-US" w:bidi="en-US"/>
              </w:rPr>
              <w:t>）</w:t>
            </w:r>
            <w:r w:rsidR="007E3BA2">
              <w:rPr>
                <w:b/>
                <w:bCs/>
                <w:lang w:val="en-US" w:bidi="en-US"/>
              </w:rPr>
              <w:t>の４ケース】</w:t>
            </w:r>
          </w:p>
        </w:tc>
      </w:tr>
      <w:tr w:rsidR="00C36A3D" w14:paraId="6C5336A5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1284"/>
          <w:jc w:val="center"/>
        </w:trPr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71B8C6" w14:textId="77777777" w:rsidR="00C36A3D" w:rsidRDefault="00C36A3D">
            <w:pPr>
              <w:rPr>
                <w:lang w:eastAsia="ja-JP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F4A11" w14:textId="454BE5D7" w:rsidR="000A4DB3" w:rsidRDefault="007E3BA2" w:rsidP="000A4DB3">
            <w:pPr>
              <w:pStyle w:val="12"/>
              <w:shd w:val="clear" w:color="auto" w:fill="auto"/>
              <w:jc w:val="center"/>
            </w:pPr>
            <w:r>
              <w:t>浸水</w:t>
            </w:r>
          </w:p>
          <w:p w14:paraId="1C955109" w14:textId="2D609420" w:rsidR="00C36A3D" w:rsidRDefault="007E3BA2" w:rsidP="000A4DB3">
            <w:pPr>
              <w:pStyle w:val="12"/>
              <w:shd w:val="clear" w:color="auto" w:fill="auto"/>
              <w:jc w:val="center"/>
            </w:pPr>
            <w:r>
              <w:t>継続時間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297A5" w14:textId="3A89C162" w:rsidR="00C36A3D" w:rsidRDefault="007E3BA2" w:rsidP="00036EA8">
            <w:pPr>
              <w:pStyle w:val="12"/>
              <w:shd w:val="clear" w:color="auto" w:fill="auto"/>
            </w:pPr>
            <w:r>
              <w:t>・</w:t>
            </w:r>
            <w:r>
              <w:t>洪水時に避難が困難となる一定の</w:t>
            </w:r>
          </w:p>
          <w:p w14:paraId="26905276" w14:textId="7EF0598A" w:rsidR="00C36A3D" w:rsidRDefault="007E3BA2" w:rsidP="00036EA8">
            <w:pPr>
              <w:pStyle w:val="12"/>
              <w:shd w:val="clear" w:color="auto" w:fill="auto"/>
              <w:ind w:left="260"/>
            </w:pPr>
            <w:r>
              <w:t>浸水深を上回る時間の目安</w:t>
            </w:r>
          </w:p>
          <w:p w14:paraId="7A44D53B" w14:textId="1E28CBA3" w:rsidR="00C36A3D" w:rsidRDefault="007E3BA2" w:rsidP="000A4DB3">
            <w:pPr>
              <w:pStyle w:val="12"/>
              <w:shd w:val="clear" w:color="auto" w:fill="auto"/>
              <w:ind w:left="260"/>
            </w:pPr>
            <w:r>
              <w:rPr>
                <w:b/>
                <w:bCs/>
              </w:rPr>
              <w:t>【年超過確率</w:t>
            </w:r>
            <w:r>
              <w:rPr>
                <w:b/>
                <w:bCs/>
              </w:rPr>
              <w:t>1/1,000</w:t>
            </w:r>
            <w:r>
              <w:rPr>
                <w:rFonts w:hint="eastAsia"/>
                <w:b/>
                <w:bCs/>
              </w:rPr>
              <w:t>以下</w:t>
            </w:r>
            <w:r w:rsidR="00036EA8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想定最大</w:t>
            </w:r>
            <w:r>
              <w:rPr>
                <w:b/>
                <w:bCs/>
                <w:lang w:val="en-US" w:bidi="en-US"/>
              </w:rPr>
              <w:t>規模</w:t>
            </w:r>
            <w:r w:rsidR="00036EA8">
              <w:rPr>
                <w:rFonts w:hint="eastAsia"/>
                <w:b/>
                <w:bCs/>
                <w:lang w:val="en-US" w:bidi="en-US"/>
              </w:rPr>
              <w:t>）</w:t>
            </w:r>
            <w:r>
              <w:rPr>
                <w:b/>
                <w:bCs/>
                <w:lang w:val="en-US" w:bidi="en-US"/>
              </w:rPr>
              <w:t>の１ケース】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538DC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―</w:t>
            </w:r>
          </w:p>
        </w:tc>
      </w:tr>
      <w:tr w:rsidR="00C36A3D" w14:paraId="03940ECB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645944" w14:textId="77777777" w:rsidR="00C36A3D" w:rsidRDefault="00C36A3D"/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A7BFE" w14:textId="20E93513" w:rsidR="00C36A3D" w:rsidRPr="00036EA8" w:rsidRDefault="007E3BA2" w:rsidP="000A4DB3">
            <w:pPr>
              <w:pStyle w:val="12"/>
              <w:shd w:val="clear" w:color="auto" w:fill="auto"/>
              <w:spacing w:after="0"/>
              <w:jc w:val="center"/>
              <w:rPr>
                <w:lang w:val="en-US"/>
              </w:rPr>
            </w:pPr>
            <w:r>
              <w:t>家氾</w:t>
            </w:r>
            <w:r>
              <w:t>屋濫</w:t>
            </w:r>
            <w:r>
              <w:t>倒想</w:t>
            </w:r>
            <w:r>
              <w:t>壊定</w:t>
            </w:r>
            <w:r>
              <w:t>等区</w:t>
            </w:r>
            <w:r>
              <w:t>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33C83" w14:textId="01CE3423" w:rsidR="00C36A3D" w:rsidRDefault="007E3BA2" w:rsidP="000A4DB3">
            <w:pPr>
              <w:pStyle w:val="12"/>
              <w:shd w:val="clear" w:color="auto" w:fill="auto"/>
              <w:jc w:val="center"/>
            </w:pPr>
            <w:r>
              <w:t>氾濫</w:t>
            </w:r>
            <w:r>
              <w:t>流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AD95B" w14:textId="3C3212C0" w:rsidR="00C36A3D" w:rsidRDefault="007E3BA2" w:rsidP="000A4DB3">
            <w:pPr>
              <w:pStyle w:val="12"/>
              <w:shd w:val="clear" w:color="auto" w:fill="auto"/>
              <w:ind w:left="220" w:hangingChars="100" w:hanging="220"/>
            </w:pPr>
            <w:r>
              <w:t>・</w:t>
            </w:r>
            <w:r>
              <w:t>洪水時の氾濫水の流体力により、家屋</w:t>
            </w:r>
            <w:r>
              <w:t>が流失・倒壊するおそれがある範囲</w:t>
            </w:r>
          </w:p>
          <w:p w14:paraId="7C372D51" w14:textId="64684F66" w:rsidR="00C36A3D" w:rsidRDefault="007E3BA2" w:rsidP="000A4DB3">
            <w:pPr>
              <w:pStyle w:val="12"/>
              <w:shd w:val="clear" w:color="auto" w:fill="auto"/>
              <w:ind w:left="260"/>
            </w:pPr>
            <w:r>
              <w:rPr>
                <w:b/>
                <w:bCs/>
              </w:rPr>
              <w:t>【年超過確率</w:t>
            </w:r>
            <w:r>
              <w:rPr>
                <w:b/>
                <w:bCs/>
              </w:rPr>
              <w:t>1/1,000</w:t>
            </w:r>
            <w:r>
              <w:rPr>
                <w:rFonts w:hint="eastAsia"/>
                <w:b/>
                <w:bCs/>
              </w:rPr>
              <w:t>以下</w:t>
            </w:r>
            <w:r w:rsidR="00036EA8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想定最大</w:t>
            </w:r>
            <w:r>
              <w:rPr>
                <w:b/>
                <w:bCs/>
                <w:lang w:val="en-US" w:bidi="en-US"/>
              </w:rPr>
              <w:t>規模</w:t>
            </w:r>
            <w:r w:rsidR="00036EA8">
              <w:rPr>
                <w:rFonts w:hint="eastAsia"/>
                <w:b/>
                <w:bCs/>
                <w:lang w:val="en-US" w:bidi="en-US"/>
              </w:rPr>
              <w:t>）</w:t>
            </w:r>
            <w:r>
              <w:rPr>
                <w:b/>
                <w:bCs/>
                <w:lang w:val="en-US" w:bidi="en-US"/>
              </w:rPr>
              <w:t>の１ケース】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7309" w14:textId="2C7A6A68" w:rsidR="00C36A3D" w:rsidRDefault="007E3BA2">
            <w:pPr>
              <w:pStyle w:val="1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―</w:t>
            </w:r>
          </w:p>
        </w:tc>
      </w:tr>
      <w:tr w:rsidR="00C36A3D" w14:paraId="7A1039A0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83239" w14:textId="77777777" w:rsidR="00C36A3D" w:rsidRDefault="00C36A3D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7BA28D" w14:textId="77777777" w:rsidR="00C36A3D" w:rsidRDefault="00C36A3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945AE" w14:textId="5EB2CA93" w:rsidR="00C36A3D" w:rsidRDefault="007E3BA2" w:rsidP="000A4DB3">
            <w:pPr>
              <w:pStyle w:val="12"/>
              <w:shd w:val="clear" w:color="auto" w:fill="auto"/>
              <w:jc w:val="center"/>
            </w:pPr>
            <w:r>
              <w:t>河岸</w:t>
            </w:r>
            <w:r>
              <w:t>侵食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7EC47" w14:textId="3751EFAD" w:rsidR="00C36A3D" w:rsidRDefault="007E3BA2" w:rsidP="000A4DB3">
            <w:pPr>
              <w:pStyle w:val="12"/>
              <w:shd w:val="clear" w:color="auto" w:fill="auto"/>
              <w:ind w:left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0F6AB" wp14:editId="485A2A8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-1614805</wp:posOffset>
                      </wp:positionV>
                      <wp:extent cx="2647950" cy="2419350"/>
                      <wp:effectExtent l="19050" t="1905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24193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80EDE" id="正方形/長方形 1" o:spid="_x0000_s1026" style="position:absolute;left:0;text-align:left;margin-left:-.9pt;margin-top:-127.15pt;width:208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" filled="f" strokecolor="black [3213]" strokeweight="3pt"/>
                  </w:pict>
                </mc:Fallback>
              </mc:AlternateContent>
            </w:r>
            <w:r>
              <w:t>・</w:t>
            </w:r>
            <w:r>
              <w:t>洪水の流れにより河岸</w:t>
            </w:r>
            <w:r w:rsidR="000A4DB3">
              <w:rPr>
                <w:rFonts w:hint="eastAsia"/>
              </w:rPr>
              <w:t>（</w:t>
            </w:r>
            <w:r>
              <w:t>地盤</w:t>
            </w:r>
            <w:r w:rsidR="000A4DB3">
              <w:rPr>
                <w:rFonts w:hint="eastAsia"/>
              </w:rPr>
              <w:t>）</w:t>
            </w:r>
            <w:r>
              <w:t>が侵食</w:t>
            </w:r>
            <w:r>
              <w:t>されるおそれがある範囲</w:t>
            </w:r>
          </w:p>
          <w:p w14:paraId="32D03EBA" w14:textId="77777777" w:rsidR="00C36A3D" w:rsidRDefault="007E3BA2">
            <w:pPr>
              <w:pStyle w:val="12"/>
              <w:shd w:val="clear" w:color="auto" w:fill="auto"/>
              <w:ind w:left="260"/>
            </w:pPr>
            <w:r>
              <w:rPr>
                <w:b/>
                <w:bCs/>
              </w:rPr>
              <w:t>【一洪水中に発生し得る最大の河岸</w:t>
            </w:r>
          </w:p>
          <w:p w14:paraId="7A0344BA" w14:textId="77777777" w:rsidR="00C36A3D" w:rsidRDefault="007E3BA2">
            <w:pPr>
              <w:pStyle w:val="12"/>
              <w:shd w:val="clear" w:color="auto" w:fill="auto"/>
              <w:ind w:left="260"/>
            </w:pPr>
            <w:r>
              <w:rPr>
                <w:b/>
                <w:bCs/>
              </w:rPr>
              <w:t>侵食幅】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87A2" w14:textId="77777777" w:rsidR="00C36A3D" w:rsidRDefault="007E3BA2">
            <w:pPr>
              <w:pStyle w:val="1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―</w:t>
            </w:r>
          </w:p>
        </w:tc>
      </w:tr>
      <w:tr w:rsidR="00C36A3D" w14:paraId="66EFB942" w14:textId="77777777" w:rsidTr="000A4DB3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F9EEB" w14:textId="2DC4EA4B" w:rsidR="00C36A3D" w:rsidRDefault="007E3BA2">
            <w:pPr>
              <w:pStyle w:val="12"/>
              <w:shd w:val="clear" w:color="auto" w:fill="auto"/>
              <w:spacing w:after="0"/>
              <w:jc w:val="center"/>
            </w:pPr>
            <w:r>
              <w:t>公表場所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8ABD7" w14:textId="0B32CF93" w:rsidR="00C36A3D" w:rsidRDefault="007E3BA2" w:rsidP="000A4DB3">
            <w:pPr>
              <w:pStyle w:val="12"/>
              <w:shd w:val="clear" w:color="auto" w:fill="auto"/>
              <w:ind w:left="220" w:hangingChars="100" w:hanging="220"/>
            </w:pPr>
            <w:r>
              <w:t>・府のホームページに掲載し、印刷した</w:t>
            </w:r>
            <w:r>
              <w:t>冊子は、土木事務所及び関係市町村で</w:t>
            </w:r>
            <w:r>
              <w:t>閲覧可能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0076" w14:textId="77777777" w:rsidR="00C36A3D" w:rsidRDefault="007E3BA2">
            <w:pPr>
              <w:pStyle w:val="12"/>
              <w:shd w:val="clear" w:color="auto" w:fill="auto"/>
              <w:spacing w:before="120" w:after="0"/>
            </w:pPr>
            <w:r>
              <w:t>・</w:t>
            </w:r>
            <w:r>
              <w:t>同左</w:t>
            </w:r>
          </w:p>
        </w:tc>
      </w:tr>
    </w:tbl>
    <w:p w14:paraId="15A3113D" w14:textId="042D1B46" w:rsidR="00C36A3D" w:rsidRDefault="007E3BA2">
      <w:pPr>
        <w:spacing w:after="259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65619" wp14:editId="16F586DB">
                <wp:simplePos x="0" y="0"/>
                <wp:positionH relativeFrom="column">
                  <wp:posOffset>321310</wp:posOffset>
                </wp:positionH>
                <wp:positionV relativeFrom="paragraph">
                  <wp:posOffset>151130</wp:posOffset>
                </wp:positionV>
                <wp:extent cx="609600" cy="2000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15CF4" id="正方形/長方形 2" o:spid="_x0000_s1026" style="position:absolute;left:0;text-align:left;margin-left:25.3pt;margin-top:11.9pt;width:4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" filled="f" strokecolor="black [3213]" strokeweight="3pt"/>
            </w:pict>
          </mc:Fallback>
        </mc:AlternateContent>
      </w:r>
    </w:p>
    <w:p w14:paraId="39597402" w14:textId="6443476A" w:rsidR="00C36A3D" w:rsidRDefault="007E3BA2" w:rsidP="007E3BA2">
      <w:pPr>
        <w:pStyle w:val="10"/>
        <w:shd w:val="clear" w:color="auto" w:fill="auto"/>
        <w:ind w:left="480" w:hangingChars="200" w:hanging="480"/>
      </w:pPr>
      <w:r>
        <w:t xml:space="preserve">※ </w:t>
      </w:r>
      <w:r>
        <w:rPr>
          <w:rFonts w:hint="eastAsia"/>
        </w:rPr>
        <w:t xml:space="preserve">　　　　　</w:t>
      </w:r>
      <w:r>
        <w:t>の情報は、今回新たに追加された情報です。「早期の立退き避難が必要な区</w:t>
      </w:r>
      <w:r>
        <w:t>域」の設定など洪水ハザードマップに活用する場合は、別図での表示や、洪水リスク表</w:t>
      </w:r>
      <w:r>
        <w:rPr>
          <w:rFonts w:hint="eastAsia"/>
        </w:rPr>
        <w:t xml:space="preserve">　</w:t>
      </w:r>
      <w:r>
        <w:t>示図に重ね合わせるなどの方法をご検討ください。</w:t>
      </w:r>
    </w:p>
    <w:sectPr w:rsidR="00C36A3D">
      <w:pgSz w:w="11900" w:h="16840"/>
      <w:pgMar w:top="730" w:right="698" w:bottom="730" w:left="1099" w:header="302" w:footer="3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23A7" w14:textId="77777777" w:rsidR="00000000" w:rsidRDefault="007E3BA2">
      <w:r>
        <w:separator/>
      </w:r>
    </w:p>
  </w:endnote>
  <w:endnote w:type="continuationSeparator" w:id="0">
    <w:p w14:paraId="2AC8BE42" w14:textId="77777777" w:rsidR="00000000" w:rsidRDefault="007E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3224" w14:textId="77777777" w:rsidR="00C36A3D" w:rsidRDefault="00C36A3D"/>
  </w:footnote>
  <w:footnote w:type="continuationSeparator" w:id="0">
    <w:p w14:paraId="13844D5E" w14:textId="77777777" w:rsidR="00C36A3D" w:rsidRDefault="00C36A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3D"/>
    <w:rsid w:val="00036EA8"/>
    <w:rsid w:val="000A4DB3"/>
    <w:rsid w:val="007E3BA2"/>
    <w:rsid w:val="00C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797F8"/>
  <w15:docId w15:val="{DEC7FE43-AFC7-4633-ADD2-A871B91A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60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北岸　賢之助</dc:creator>
  <cp:keywords/>
  <cp:lastModifiedBy>木下　三加</cp:lastModifiedBy>
  <cp:revision>2</cp:revision>
  <dcterms:created xsi:type="dcterms:W3CDTF">2024-04-03T08:24:00Z</dcterms:created>
  <dcterms:modified xsi:type="dcterms:W3CDTF">2024-04-03T08:51:00Z</dcterms:modified>
</cp:coreProperties>
</file>