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D9" w:rsidRPr="00A85E78" w:rsidRDefault="005C2CB7" w:rsidP="006C6E2D">
      <w:pPr>
        <w:jc w:val="center"/>
        <w:rPr>
          <w:b/>
          <w:sz w:val="24"/>
          <w:szCs w:val="24"/>
        </w:rPr>
      </w:pPr>
      <w:r>
        <w:rPr>
          <w:rFonts w:hint="eastAsia"/>
          <w:b/>
          <w:noProof/>
          <w:sz w:val="22"/>
        </w:rPr>
        <mc:AlternateContent>
          <mc:Choice Requires="wps">
            <w:drawing>
              <wp:anchor distT="0" distB="0" distL="114300" distR="114300" simplePos="0" relativeHeight="251665408" behindDoc="0" locked="0" layoutInCell="1" allowOverlap="1" wp14:anchorId="7A125230" wp14:editId="2BE7ED41">
                <wp:simplePos x="0" y="0"/>
                <wp:positionH relativeFrom="column">
                  <wp:posOffset>5042781</wp:posOffset>
                </wp:positionH>
                <wp:positionV relativeFrom="paragraph">
                  <wp:posOffset>-460099</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ysClr val="window" lastClr="FFFFFF"/>
                        </a:solidFill>
                        <a:ln w="6350">
                          <a:solidFill>
                            <a:prstClr val="black"/>
                          </a:solidFill>
                        </a:ln>
                      </wps:spPr>
                      <wps:txbx>
                        <w:txbxContent>
                          <w:p w:rsidR="005C2CB7" w:rsidRDefault="00646D42" w:rsidP="005C2CB7">
                            <w:pPr>
                              <w:jc w:val="center"/>
                            </w:pPr>
                            <w:r>
                              <w:rPr>
                                <w:rFonts w:hint="eastAsia"/>
                              </w:rPr>
                              <w:t>参考資料６</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25230" id="_x0000_t202" coordsize="21600,21600" o:spt="202" path="m,l,21600r21600,l21600,xe">
                <v:stroke joinstyle="miter"/>
                <v:path gradientshapeok="t" o:connecttype="rect"/>
              </v:shapetype>
              <v:shape id="テキスト ボックス 2" o:spid="_x0000_s1026" type="#_x0000_t202" style="position:absolute;left:0;text-align:left;margin-left:397.05pt;margin-top:-36.25pt;width:1in;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" fillcolor="window" strokeweight=".5pt">
                <v:textbox>
                  <w:txbxContent>
                    <w:p w:rsidR="005C2CB7" w:rsidRDefault="00646D42" w:rsidP="005C2CB7">
                      <w:pPr>
                        <w:jc w:val="center"/>
                      </w:pPr>
                      <w:r>
                        <w:rPr>
                          <w:rFonts w:hint="eastAsia"/>
                        </w:rPr>
                        <w:t>参考資料６</w:t>
                      </w:r>
                      <w:bookmarkStart w:id="1" w:name="_GoBack"/>
                      <w:bookmarkEnd w:id="1"/>
                    </w:p>
                  </w:txbxContent>
                </v:textbox>
              </v:shape>
            </w:pict>
          </mc:Fallback>
        </mc:AlternateContent>
      </w:r>
      <w:r w:rsidR="006C6E2D">
        <w:rPr>
          <w:rFonts w:hint="eastAsia"/>
          <w:b/>
          <w:sz w:val="24"/>
          <w:szCs w:val="24"/>
        </w:rPr>
        <w:t>大阪府</w:t>
      </w:r>
      <w:r w:rsidR="00647401" w:rsidRPr="00647401">
        <w:rPr>
          <w:rFonts w:hint="eastAsia"/>
          <w:b/>
          <w:sz w:val="24"/>
          <w:szCs w:val="24"/>
        </w:rPr>
        <w:t>景観アドバイザー会議運営指針（案）</w:t>
      </w:r>
    </w:p>
    <w:p w:rsidR="00F767ED" w:rsidRPr="00021F2B" w:rsidRDefault="00F767ED" w:rsidP="006C6E2D">
      <w:pPr>
        <w:rPr>
          <w:sz w:val="22"/>
        </w:rPr>
      </w:pPr>
    </w:p>
    <w:p w:rsidR="002E103A" w:rsidRPr="00021F2B" w:rsidRDefault="00647401" w:rsidP="006C6E2D">
      <w:pPr>
        <w:rPr>
          <w:sz w:val="22"/>
        </w:rPr>
      </w:pPr>
      <w:r>
        <w:rPr>
          <w:rFonts w:hint="eastAsia"/>
          <w:sz w:val="22"/>
        </w:rPr>
        <w:t>１．目的</w:t>
      </w:r>
    </w:p>
    <w:p w:rsidR="00C81068" w:rsidRDefault="006C6E2D" w:rsidP="006C6E2D">
      <w:pPr>
        <w:ind w:leftChars="200" w:left="420"/>
        <w:rPr>
          <w:sz w:val="22"/>
        </w:rPr>
      </w:pPr>
      <w:r>
        <w:rPr>
          <w:rFonts w:hint="eastAsia"/>
          <w:sz w:val="22"/>
        </w:rPr>
        <w:t>この運営指針</w:t>
      </w:r>
      <w:r w:rsidRPr="006C6E2D">
        <w:rPr>
          <w:sz w:val="22"/>
        </w:rPr>
        <w:t>は、</w:t>
      </w:r>
      <w:r>
        <w:rPr>
          <w:rFonts w:hint="eastAsia"/>
          <w:sz w:val="22"/>
        </w:rPr>
        <w:t>大阪府景観アドバイザー会議（以下「会議」という。）</w:t>
      </w:r>
      <w:r w:rsidR="00D338DF">
        <w:rPr>
          <w:rFonts w:hint="eastAsia"/>
          <w:sz w:val="22"/>
        </w:rPr>
        <w:t>の運営に関して</w:t>
      </w:r>
      <w:r w:rsidRPr="006C6E2D">
        <w:rPr>
          <w:sz w:val="22"/>
        </w:rPr>
        <w:t>、</w:t>
      </w:r>
      <w:r w:rsidR="00D338DF">
        <w:rPr>
          <w:rFonts w:hint="eastAsia"/>
          <w:sz w:val="22"/>
        </w:rPr>
        <w:t>必要な事項を定める</w:t>
      </w:r>
      <w:r w:rsidRPr="006C6E2D">
        <w:rPr>
          <w:rFonts w:hint="eastAsia"/>
          <w:sz w:val="22"/>
        </w:rPr>
        <w:t>ことを目的とする。</w:t>
      </w:r>
    </w:p>
    <w:p w:rsidR="00F767ED" w:rsidRPr="006C6E2D" w:rsidRDefault="00F767ED" w:rsidP="006C6E2D">
      <w:pPr>
        <w:rPr>
          <w:sz w:val="22"/>
        </w:rPr>
      </w:pPr>
    </w:p>
    <w:p w:rsidR="00647401" w:rsidRPr="00021F2B" w:rsidRDefault="00647401" w:rsidP="006C6E2D">
      <w:pPr>
        <w:rPr>
          <w:sz w:val="22"/>
        </w:rPr>
      </w:pPr>
      <w:r>
        <w:rPr>
          <w:rFonts w:hint="eastAsia"/>
          <w:sz w:val="22"/>
        </w:rPr>
        <w:t>２．会議の回数</w:t>
      </w:r>
    </w:p>
    <w:p w:rsidR="00EC76A2" w:rsidRPr="00021F2B" w:rsidRDefault="00647401" w:rsidP="006C6E2D">
      <w:pPr>
        <w:ind w:leftChars="200" w:left="420"/>
        <w:rPr>
          <w:sz w:val="22"/>
        </w:rPr>
      </w:pPr>
      <w:r w:rsidRPr="00647401">
        <w:rPr>
          <w:rFonts w:hint="eastAsia"/>
          <w:sz w:val="22"/>
        </w:rPr>
        <w:t>景観アドバイザー会議に諮る事業数は、「義務」とするものと「希望」によるものを合わせて、１年間あたり６～１２件を目安とし、事業内容に応じて調整するものとする。なお、部分的な相談も可とする。</w:t>
      </w:r>
    </w:p>
    <w:p w:rsidR="00B02F27" w:rsidRDefault="00B02F27" w:rsidP="006C6E2D">
      <w:pPr>
        <w:widowControl/>
        <w:jc w:val="left"/>
        <w:rPr>
          <w:sz w:val="22"/>
        </w:rPr>
      </w:pPr>
    </w:p>
    <w:p w:rsidR="00647401" w:rsidRDefault="00647401" w:rsidP="006C6E2D">
      <w:pPr>
        <w:widowControl/>
        <w:jc w:val="left"/>
        <w:rPr>
          <w:sz w:val="22"/>
        </w:rPr>
      </w:pPr>
      <w:r>
        <w:rPr>
          <w:rFonts w:hint="eastAsia"/>
          <w:sz w:val="22"/>
        </w:rPr>
        <w:t>３．会議の進め方</w:t>
      </w:r>
    </w:p>
    <w:p w:rsidR="00647401" w:rsidRDefault="00647401" w:rsidP="00BB06C5">
      <w:pPr>
        <w:widowControl/>
        <w:ind w:leftChars="100" w:left="430" w:hangingChars="100" w:hanging="220"/>
        <w:jc w:val="left"/>
        <w:rPr>
          <w:sz w:val="22"/>
        </w:rPr>
      </w:pPr>
      <w:r>
        <w:rPr>
          <w:rFonts w:hint="eastAsia"/>
          <w:sz w:val="22"/>
        </w:rPr>
        <w:t>・</w:t>
      </w:r>
      <w:r w:rsidR="00BB06C5">
        <w:rPr>
          <w:rFonts w:hint="eastAsia"/>
          <w:sz w:val="22"/>
        </w:rPr>
        <w:t>会議は原則３回とし、</w:t>
      </w:r>
      <w:r w:rsidRPr="00647401">
        <w:rPr>
          <w:rFonts w:hint="eastAsia"/>
          <w:sz w:val="22"/>
        </w:rPr>
        <w:t>１回目は必要に応じ現地確認し、２回目以降は会議中心とする。現地確認は写真や動画での代用も可能とする。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４．所要時間</w:t>
      </w:r>
    </w:p>
    <w:p w:rsidR="00647401" w:rsidRDefault="00D60C38" w:rsidP="00FE1B7C">
      <w:pPr>
        <w:widowControl/>
        <w:ind w:leftChars="100" w:left="210" w:firstLineChars="100" w:firstLine="220"/>
        <w:jc w:val="left"/>
        <w:rPr>
          <w:sz w:val="22"/>
        </w:rPr>
      </w:pPr>
      <w:r w:rsidRPr="00D60C38">
        <w:rPr>
          <w:rFonts w:hint="eastAsia"/>
          <w:sz w:val="22"/>
        </w:rPr>
        <w:t>会議の所要時間は、１案件あたり、会議全体で２０分から４０分とし、説明は１５分までが目安とする。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５．進め方</w:t>
      </w:r>
    </w:p>
    <w:p w:rsidR="00647401" w:rsidRDefault="00D60C38" w:rsidP="00FE1B7C">
      <w:pPr>
        <w:widowControl/>
        <w:ind w:leftChars="100" w:left="210" w:firstLineChars="100" w:firstLine="220"/>
        <w:jc w:val="left"/>
        <w:rPr>
          <w:sz w:val="22"/>
        </w:rPr>
      </w:pPr>
      <w:r w:rsidRPr="00D60C38">
        <w:rPr>
          <w:rFonts w:hint="eastAsia"/>
          <w:sz w:val="22"/>
        </w:rPr>
        <w:t>会議の進め方は、①事業概要の説明、②周辺環境の説明、③計画に関するＱＡの順に行うものとする。</w:t>
      </w:r>
    </w:p>
    <w:p w:rsidR="00647401" w:rsidRDefault="00647401" w:rsidP="006C6E2D">
      <w:pPr>
        <w:widowControl/>
        <w:jc w:val="left"/>
        <w:rPr>
          <w:sz w:val="22"/>
        </w:rPr>
      </w:pPr>
    </w:p>
    <w:p w:rsidR="00D60C38" w:rsidRPr="00D60C38" w:rsidRDefault="00D60C38" w:rsidP="006C6E2D">
      <w:pPr>
        <w:widowControl/>
        <w:jc w:val="left"/>
        <w:rPr>
          <w:sz w:val="22"/>
        </w:rPr>
      </w:pPr>
      <w:r>
        <w:rPr>
          <w:rFonts w:hint="eastAsia"/>
          <w:sz w:val="22"/>
        </w:rPr>
        <w:t>６．会議資料</w:t>
      </w:r>
    </w:p>
    <w:p w:rsidR="00D60C38" w:rsidRPr="00D60C38" w:rsidRDefault="00D60C38" w:rsidP="006C6E2D">
      <w:pPr>
        <w:widowControl/>
        <w:ind w:left="220" w:hangingChars="100" w:hanging="220"/>
        <w:jc w:val="left"/>
        <w:rPr>
          <w:sz w:val="22"/>
        </w:rPr>
      </w:pPr>
      <w:r w:rsidRPr="00D60C38">
        <w:rPr>
          <w:rFonts w:hint="eastAsia"/>
          <w:sz w:val="22"/>
        </w:rPr>
        <w:t>・会議資料は、「景観形成の目標設定シート」、「配置図」、「平面図」、「立面図」、「主要断面図」、「周辺写真及び撮影位置図」、その他説明上、必要と思われる資料とする。</w:t>
      </w:r>
    </w:p>
    <w:p w:rsidR="00D60C38" w:rsidRDefault="00D60C38" w:rsidP="006C6E2D">
      <w:pPr>
        <w:widowControl/>
        <w:ind w:left="220" w:hangingChars="100" w:hanging="220"/>
        <w:jc w:val="left"/>
        <w:rPr>
          <w:sz w:val="22"/>
        </w:rPr>
      </w:pPr>
      <w:r w:rsidRPr="00D60C38">
        <w:rPr>
          <w:rFonts w:hint="eastAsia"/>
          <w:sz w:val="22"/>
        </w:rPr>
        <w:t>・「景観形成の目標設定シート」は、１回目に「目標設定シート①」による計画地の現状把握、２回目に「目標設定シート②」による景観形成指針への対応、３回目に「目標設定シート①②」により設定した景観形成の目標への対応をそれぞれ確認するものとする。</w:t>
      </w:r>
    </w:p>
    <w:p w:rsidR="00D60C38" w:rsidRDefault="00D60C38" w:rsidP="006C6E2D">
      <w:pPr>
        <w:widowControl/>
        <w:jc w:val="left"/>
        <w:rPr>
          <w:sz w:val="22"/>
        </w:rPr>
      </w:pPr>
    </w:p>
    <w:p w:rsidR="00BB06C5" w:rsidRDefault="00BB06C5" w:rsidP="006C6E2D">
      <w:pPr>
        <w:widowControl/>
        <w:jc w:val="left"/>
        <w:rPr>
          <w:sz w:val="22"/>
        </w:rPr>
      </w:pPr>
    </w:p>
    <w:p w:rsidR="006C6E2D" w:rsidRPr="006C6E2D" w:rsidRDefault="006C6E2D" w:rsidP="006C6E2D">
      <w:pPr>
        <w:widowControl/>
        <w:jc w:val="left"/>
        <w:rPr>
          <w:sz w:val="22"/>
        </w:rPr>
      </w:pPr>
      <w:r>
        <w:rPr>
          <w:rFonts w:hint="eastAsia"/>
          <w:sz w:val="22"/>
        </w:rPr>
        <w:lastRenderedPageBreak/>
        <w:t>７．設計者の選定方法別の取り扱い</w:t>
      </w:r>
    </w:p>
    <w:p w:rsidR="006C6E2D" w:rsidRPr="006C6E2D" w:rsidRDefault="00CD4C11" w:rsidP="006C6E2D">
      <w:pPr>
        <w:widowControl/>
        <w:jc w:val="left"/>
        <w:rPr>
          <w:sz w:val="22"/>
        </w:rPr>
      </w:pPr>
      <w:r>
        <w:rPr>
          <w:rFonts w:ascii="ＭＳ 明朝" w:hAnsi="ＭＳ 明朝"/>
          <w:noProof/>
          <w:sz w:val="22"/>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222885</wp:posOffset>
            </wp:positionV>
            <wp:extent cx="2462530" cy="25241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253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hint="eastAsia"/>
          <w:sz w:val="22"/>
        </w:rPr>
        <w:t>①プロポーザル方式</w:t>
      </w:r>
    </w:p>
    <w:p w:rsidR="00FE1B7C" w:rsidRDefault="006C6E2D" w:rsidP="006C6E2D">
      <w:pPr>
        <w:widowControl/>
        <w:ind w:left="220" w:hangingChars="100" w:hanging="220"/>
        <w:jc w:val="left"/>
        <w:rPr>
          <w:sz w:val="22"/>
        </w:rPr>
      </w:pPr>
      <w:r w:rsidRPr="006C6E2D">
        <w:rPr>
          <w:rFonts w:hint="eastAsia"/>
          <w:sz w:val="22"/>
        </w:rPr>
        <w:t>・基本計画時に基本設計のプロポーザルの条件設定</w:t>
      </w:r>
    </w:p>
    <w:p w:rsidR="00FE1B7C" w:rsidRDefault="006C6E2D" w:rsidP="00FE1B7C">
      <w:pPr>
        <w:widowControl/>
        <w:ind w:leftChars="100" w:left="210"/>
        <w:jc w:val="left"/>
        <w:rPr>
          <w:sz w:val="22"/>
        </w:rPr>
      </w:pPr>
      <w:r w:rsidRPr="006C6E2D">
        <w:rPr>
          <w:rFonts w:hint="eastAsia"/>
          <w:sz w:val="22"/>
        </w:rPr>
        <w:t>を行い、基本設計者が実施設計も行うことが多い</w:t>
      </w:r>
    </w:p>
    <w:p w:rsidR="00FE1B7C" w:rsidRDefault="006C6E2D" w:rsidP="00FE1B7C">
      <w:pPr>
        <w:widowControl/>
        <w:ind w:leftChars="100" w:left="210"/>
        <w:jc w:val="left"/>
        <w:rPr>
          <w:sz w:val="22"/>
        </w:rPr>
      </w:pPr>
      <w:r w:rsidRPr="006C6E2D">
        <w:rPr>
          <w:rFonts w:hint="eastAsia"/>
          <w:sz w:val="22"/>
        </w:rPr>
        <w:t>ことから、第１回アドバイス会議を踏まえて基本</w:t>
      </w:r>
    </w:p>
    <w:p w:rsidR="006C6E2D" w:rsidRPr="006C6E2D" w:rsidRDefault="006C6E2D" w:rsidP="00FE1B7C">
      <w:pPr>
        <w:widowControl/>
        <w:ind w:leftChars="100" w:left="210"/>
        <w:jc w:val="left"/>
        <w:rPr>
          <w:sz w:val="22"/>
        </w:rPr>
      </w:pPr>
      <w:r w:rsidRPr="006C6E2D">
        <w:rPr>
          <w:rFonts w:hint="eastAsia"/>
          <w:sz w:val="22"/>
        </w:rPr>
        <w:t>計画を進め、プロポーザルの条件を設定する。</w:t>
      </w:r>
    </w:p>
    <w:p w:rsidR="00FE1B7C" w:rsidRDefault="006C6E2D" w:rsidP="006C6E2D">
      <w:pPr>
        <w:widowControl/>
        <w:ind w:left="220" w:hangingChars="100" w:hanging="220"/>
        <w:jc w:val="left"/>
        <w:rPr>
          <w:sz w:val="22"/>
        </w:rPr>
      </w:pPr>
      <w:r w:rsidRPr="006C6E2D">
        <w:rPr>
          <w:rFonts w:hint="eastAsia"/>
          <w:sz w:val="22"/>
        </w:rPr>
        <w:t>・プロポーザル実施時に府から提示する書類（業務</w:t>
      </w:r>
    </w:p>
    <w:p w:rsidR="00FE1B7C" w:rsidRDefault="006C6E2D" w:rsidP="00FE1B7C">
      <w:pPr>
        <w:widowControl/>
        <w:ind w:leftChars="100" w:left="210"/>
        <w:jc w:val="left"/>
        <w:rPr>
          <w:sz w:val="22"/>
        </w:rPr>
      </w:pPr>
      <w:r w:rsidRPr="006C6E2D">
        <w:rPr>
          <w:rFonts w:hint="eastAsia"/>
          <w:sz w:val="22"/>
        </w:rPr>
        <w:t>委託特記仕様書（案）など）に、「設計時には有識</w:t>
      </w:r>
    </w:p>
    <w:p w:rsidR="00FE1B7C" w:rsidRDefault="006C6E2D" w:rsidP="00FE1B7C">
      <w:pPr>
        <w:widowControl/>
        <w:ind w:leftChars="100" w:left="210"/>
        <w:jc w:val="left"/>
        <w:rPr>
          <w:sz w:val="22"/>
        </w:rPr>
      </w:pPr>
      <w:r w:rsidRPr="006C6E2D">
        <w:rPr>
          <w:rFonts w:hint="eastAsia"/>
          <w:sz w:val="22"/>
        </w:rPr>
        <w:t>者等による景観アドバイスを受けること」を明記</w:t>
      </w:r>
    </w:p>
    <w:p w:rsidR="006C6E2D" w:rsidRPr="006C6E2D" w:rsidRDefault="006C6E2D" w:rsidP="00FE1B7C">
      <w:pPr>
        <w:widowControl/>
        <w:ind w:leftChars="100" w:left="210"/>
        <w:jc w:val="left"/>
        <w:rPr>
          <w:sz w:val="22"/>
        </w:rPr>
      </w:pPr>
      <w:r w:rsidRPr="006C6E2D">
        <w:rPr>
          <w:rFonts w:hint="eastAsia"/>
          <w:sz w:val="22"/>
        </w:rPr>
        <w:t>する。</w:t>
      </w:r>
    </w:p>
    <w:p w:rsidR="00FE1B7C" w:rsidRDefault="006C6E2D" w:rsidP="006C6E2D">
      <w:pPr>
        <w:widowControl/>
        <w:ind w:left="220" w:hangingChars="100" w:hanging="220"/>
        <w:jc w:val="left"/>
        <w:rPr>
          <w:sz w:val="22"/>
        </w:rPr>
      </w:pPr>
      <w:r w:rsidRPr="006C6E2D">
        <w:rPr>
          <w:rFonts w:hint="eastAsia"/>
          <w:sz w:val="22"/>
        </w:rPr>
        <w:t>・設計者は、基本設計段階に第２回景観アドバイザー</w:t>
      </w:r>
    </w:p>
    <w:p w:rsidR="00FE1B7C" w:rsidRDefault="006C6E2D" w:rsidP="00FE1B7C">
      <w:pPr>
        <w:widowControl/>
        <w:ind w:leftChars="100" w:left="210"/>
        <w:jc w:val="left"/>
        <w:rPr>
          <w:rFonts w:ascii="ＭＳ 明朝" w:hAnsi="ＭＳ 明朝"/>
          <w:sz w:val="22"/>
        </w:rPr>
      </w:pPr>
      <w:r w:rsidRPr="006C6E2D">
        <w:rPr>
          <w:rFonts w:hint="eastAsia"/>
          <w:sz w:val="22"/>
        </w:rPr>
        <w:t>会議を受ける。その後、基本設計段階のア</w:t>
      </w:r>
      <w:r w:rsidRPr="006C6E2D">
        <w:rPr>
          <w:rFonts w:ascii="ＭＳ 明朝" w:hAnsi="ＭＳ 明朝" w:hint="eastAsia"/>
          <w:sz w:val="22"/>
        </w:rPr>
        <w:t>ドバイス</w:t>
      </w:r>
    </w:p>
    <w:p w:rsidR="00FE1B7C" w:rsidRDefault="006C6E2D" w:rsidP="00FE1B7C">
      <w:pPr>
        <w:widowControl/>
        <w:ind w:leftChars="100" w:left="210"/>
        <w:jc w:val="left"/>
        <w:rPr>
          <w:rFonts w:ascii="ＭＳ 明朝" w:hAnsi="ＭＳ 明朝"/>
          <w:sz w:val="22"/>
        </w:rPr>
      </w:pPr>
      <w:r w:rsidRPr="006C6E2D">
        <w:rPr>
          <w:rFonts w:ascii="ＭＳ 明朝" w:hAnsi="ＭＳ 明朝" w:hint="eastAsia"/>
          <w:sz w:val="22"/>
        </w:rPr>
        <w:t>への対応を確認するために、実施設計段階に第３回</w:t>
      </w:r>
    </w:p>
    <w:p w:rsidR="00D60C38" w:rsidRDefault="006C6E2D" w:rsidP="00FE1B7C">
      <w:pPr>
        <w:widowControl/>
        <w:ind w:leftChars="100" w:left="210"/>
        <w:jc w:val="left"/>
        <w:rPr>
          <w:rFonts w:ascii="ＭＳ 明朝" w:hAnsi="ＭＳ 明朝"/>
          <w:sz w:val="22"/>
        </w:rPr>
      </w:pPr>
      <w:r w:rsidRPr="006C6E2D">
        <w:rPr>
          <w:rFonts w:ascii="ＭＳ 明朝" w:hAnsi="ＭＳ 明朝" w:hint="eastAsia"/>
          <w:sz w:val="22"/>
        </w:rPr>
        <w:t>景観アドバイザー会議を受ける。</w:t>
      </w:r>
    </w:p>
    <w:p w:rsidR="00FE1B7C" w:rsidRPr="006C6E2D" w:rsidRDefault="00FE1B7C" w:rsidP="00FE1B7C">
      <w:pPr>
        <w:widowControl/>
        <w:jc w:val="left"/>
        <w:rPr>
          <w:rFonts w:ascii="ＭＳ 明朝" w:hAnsi="ＭＳ 明朝"/>
          <w:sz w:val="22"/>
        </w:rPr>
      </w:pPr>
    </w:p>
    <w:p w:rsidR="006C6E2D" w:rsidRPr="006C6E2D" w:rsidRDefault="00CD4C11" w:rsidP="006C6E2D">
      <w:pPr>
        <w:widowControl/>
        <w:jc w:val="left"/>
        <w:rPr>
          <w:rFonts w:ascii="ＭＳ 明朝" w:hAnsi="ＭＳ 明朝"/>
          <w:sz w:val="22"/>
        </w:rPr>
      </w:pPr>
      <w:r>
        <w:rPr>
          <w:rFonts w:ascii="ＭＳ 明朝" w:hAnsi="ＭＳ 明朝"/>
          <w:noProof/>
          <w:sz w:val="22"/>
        </w:rPr>
        <w:drawing>
          <wp:anchor distT="0" distB="0" distL="114300" distR="114300" simplePos="0" relativeHeight="251659264" behindDoc="0" locked="0" layoutInCell="1" allowOverlap="1">
            <wp:simplePos x="0" y="0"/>
            <wp:positionH relativeFrom="column">
              <wp:posOffset>3558603</wp:posOffset>
            </wp:positionH>
            <wp:positionV relativeFrom="paragraph">
              <wp:posOffset>216535</wp:posOffset>
            </wp:positionV>
            <wp:extent cx="2505075" cy="2494343"/>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2494343"/>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ascii="ＭＳ 明朝" w:hAnsi="ＭＳ 明朝" w:hint="eastAsia"/>
          <w:sz w:val="22"/>
        </w:rPr>
        <w:t>②</w:t>
      </w:r>
      <w:r w:rsidR="006C6E2D" w:rsidRPr="006C6E2D">
        <w:rPr>
          <w:rFonts w:ascii="ＭＳ 明朝" w:hAnsi="ＭＳ 明朝"/>
          <w:sz w:val="22"/>
        </w:rPr>
        <w:t>PFI方式</w:t>
      </w:r>
    </w:p>
    <w:p w:rsidR="00CD4C11"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w:t>
      </w:r>
      <w:r w:rsidRPr="006C6E2D">
        <w:rPr>
          <w:rFonts w:ascii="ＭＳ 明朝" w:hAnsi="ＭＳ 明朝"/>
          <w:sz w:val="22"/>
        </w:rPr>
        <w:t>PFI事業の導入可能性調査時に第１回景観アドバイ</w:t>
      </w:r>
    </w:p>
    <w:p w:rsidR="00054F7E" w:rsidRDefault="00CD4C11" w:rsidP="00054F7E">
      <w:pPr>
        <w:widowControl/>
        <w:ind w:left="220" w:hangingChars="100" w:hanging="220"/>
        <w:jc w:val="left"/>
        <w:rPr>
          <w:rFonts w:ascii="ＭＳ 明朝" w:hAnsi="ＭＳ 明朝"/>
          <w:sz w:val="22"/>
        </w:rPr>
      </w:pPr>
      <w:r>
        <w:rPr>
          <w:rFonts w:ascii="ＭＳ 明朝" w:hAnsi="ＭＳ 明朝" w:hint="eastAsia"/>
          <w:sz w:val="22"/>
        </w:rPr>
        <w:t xml:space="preserve">　</w:t>
      </w:r>
      <w:r w:rsidR="006C6E2D" w:rsidRPr="006C6E2D">
        <w:rPr>
          <w:rFonts w:ascii="ＭＳ 明朝" w:hAnsi="ＭＳ 明朝"/>
          <w:sz w:val="22"/>
        </w:rPr>
        <w:t>ザー会議を受け、総合評価型一般競争入札の条件設</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sz w:val="22"/>
        </w:rPr>
        <w:t>定等を行う。</w:t>
      </w: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・審査委員に景観の専門家を入れる。</w:t>
      </w:r>
    </w:p>
    <w:p w:rsidR="00CD4C11"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・入札にあたり府から提示する書類（要求水準書（案）</w:t>
      </w:r>
    </w:p>
    <w:p w:rsidR="00054F7E" w:rsidRDefault="006C6E2D" w:rsidP="00CD4C11">
      <w:pPr>
        <w:widowControl/>
        <w:ind w:leftChars="100" w:left="210"/>
        <w:jc w:val="left"/>
        <w:rPr>
          <w:rFonts w:ascii="ＭＳ 明朝" w:hAnsi="ＭＳ 明朝"/>
          <w:sz w:val="22"/>
        </w:rPr>
      </w:pPr>
      <w:r w:rsidRPr="006C6E2D">
        <w:rPr>
          <w:rFonts w:ascii="ＭＳ 明朝" w:hAnsi="ＭＳ 明朝" w:hint="eastAsia"/>
          <w:sz w:val="22"/>
        </w:rPr>
        <w:t>など）に、「設計時には有識者等による景観アドバ</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hint="eastAsia"/>
          <w:sz w:val="22"/>
        </w:rPr>
        <w:t>イスを受けること」を明記する。</w:t>
      </w:r>
    </w:p>
    <w:p w:rsidR="00054F7E"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・設計者は、基本設計段階に第２回景観アドバイザー</w:t>
      </w:r>
    </w:p>
    <w:p w:rsidR="00054F7E" w:rsidRDefault="00054F7E" w:rsidP="00054F7E">
      <w:pPr>
        <w:widowControl/>
        <w:ind w:left="220" w:hangingChars="100" w:hanging="220"/>
        <w:jc w:val="left"/>
        <w:rPr>
          <w:rFonts w:ascii="ＭＳ 明朝" w:hAnsi="ＭＳ 明朝"/>
          <w:sz w:val="22"/>
        </w:rPr>
      </w:pPr>
      <w:r>
        <w:rPr>
          <w:rFonts w:ascii="ＭＳ 明朝" w:hAnsi="ＭＳ 明朝" w:hint="eastAsia"/>
          <w:sz w:val="22"/>
        </w:rPr>
        <w:t xml:space="preserve">　</w:t>
      </w:r>
      <w:r w:rsidR="006C6E2D" w:rsidRPr="006C6E2D">
        <w:rPr>
          <w:rFonts w:ascii="ＭＳ 明朝" w:hAnsi="ＭＳ 明朝" w:hint="eastAsia"/>
          <w:sz w:val="22"/>
        </w:rPr>
        <w:t>会議を受ける。その後、基本設計段階のアドバイス</w:t>
      </w:r>
    </w:p>
    <w:p w:rsidR="00054F7E" w:rsidRDefault="006C6E2D" w:rsidP="00054F7E">
      <w:pPr>
        <w:widowControl/>
        <w:ind w:leftChars="100" w:left="210"/>
        <w:jc w:val="left"/>
        <w:rPr>
          <w:rFonts w:ascii="ＭＳ 明朝" w:hAnsi="ＭＳ 明朝"/>
          <w:sz w:val="22"/>
        </w:rPr>
      </w:pPr>
      <w:r w:rsidRPr="006C6E2D">
        <w:rPr>
          <w:rFonts w:ascii="ＭＳ 明朝" w:hAnsi="ＭＳ 明朝" w:hint="eastAsia"/>
          <w:sz w:val="22"/>
        </w:rPr>
        <w:t>への対応を確認するために、実施設計段階に第３回</w:t>
      </w:r>
    </w:p>
    <w:p w:rsidR="00647401" w:rsidRDefault="006C6E2D" w:rsidP="00054F7E">
      <w:pPr>
        <w:widowControl/>
        <w:ind w:leftChars="100" w:left="210"/>
        <w:jc w:val="left"/>
        <w:rPr>
          <w:rFonts w:ascii="ＭＳ 明朝" w:hAnsi="ＭＳ 明朝"/>
          <w:sz w:val="22"/>
        </w:rPr>
      </w:pPr>
      <w:r w:rsidRPr="006C6E2D">
        <w:rPr>
          <w:rFonts w:ascii="ＭＳ 明朝" w:hAnsi="ＭＳ 明朝" w:hint="eastAsia"/>
          <w:sz w:val="22"/>
        </w:rPr>
        <w:t>景観アドバイザー会議を受ける。</w:t>
      </w:r>
    </w:p>
    <w:p w:rsidR="00FE1B7C" w:rsidRPr="00054F7E" w:rsidRDefault="00FE1B7C" w:rsidP="006C6E2D">
      <w:pPr>
        <w:widowControl/>
        <w:ind w:left="220" w:hangingChars="100" w:hanging="220"/>
        <w:jc w:val="left"/>
        <w:rPr>
          <w:rFonts w:ascii="ＭＳ 明朝" w:hAnsi="ＭＳ 明朝"/>
          <w:sz w:val="22"/>
        </w:rPr>
      </w:pP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③コンペ方式</w:t>
      </w:r>
    </w:p>
    <w:p w:rsidR="00054F7E" w:rsidRDefault="00054F7E" w:rsidP="006C6E2D">
      <w:pPr>
        <w:widowControl/>
        <w:jc w:val="left"/>
        <w:rPr>
          <w:rFonts w:ascii="ＭＳ 明朝" w:hAnsi="ＭＳ 明朝"/>
          <w:sz w:val="22"/>
        </w:rPr>
      </w:pPr>
      <w:r>
        <w:rPr>
          <w:rFonts w:ascii="ＭＳ 明朝" w:hAnsi="ＭＳ 明朝"/>
          <w:noProof/>
        </w:rPr>
        <w:drawing>
          <wp:anchor distT="0" distB="0" distL="114300" distR="114300" simplePos="0" relativeHeight="251660288" behindDoc="0" locked="0" layoutInCell="1" allowOverlap="1">
            <wp:simplePos x="0" y="0"/>
            <wp:positionH relativeFrom="column">
              <wp:posOffset>3643630</wp:posOffset>
            </wp:positionH>
            <wp:positionV relativeFrom="paragraph">
              <wp:posOffset>12700</wp:posOffset>
            </wp:positionV>
            <wp:extent cx="2337435" cy="2009775"/>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743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2D" w:rsidRPr="006C6E2D">
        <w:rPr>
          <w:rFonts w:ascii="ＭＳ 明朝" w:hAnsi="ＭＳ 明朝" w:hint="eastAsia"/>
          <w:sz w:val="22"/>
        </w:rPr>
        <w:t>・基本計画時に第１回景観アドバイザー会議を受け、</w:t>
      </w:r>
    </w:p>
    <w:p w:rsidR="006C6E2D" w:rsidRPr="006C6E2D" w:rsidRDefault="006C6E2D" w:rsidP="00054F7E">
      <w:pPr>
        <w:widowControl/>
        <w:ind w:firstLineChars="100" w:firstLine="220"/>
        <w:jc w:val="left"/>
        <w:rPr>
          <w:rFonts w:ascii="ＭＳ 明朝" w:hAnsi="ＭＳ 明朝"/>
          <w:sz w:val="22"/>
        </w:rPr>
      </w:pPr>
      <w:r w:rsidRPr="006C6E2D">
        <w:rPr>
          <w:rFonts w:ascii="ＭＳ 明朝" w:hAnsi="ＭＳ 明朝" w:hint="eastAsia"/>
          <w:sz w:val="22"/>
        </w:rPr>
        <w:t>コンペの条件設定等を行う。</w:t>
      </w:r>
    </w:p>
    <w:p w:rsidR="006C6E2D" w:rsidRPr="006C6E2D" w:rsidRDefault="006C6E2D" w:rsidP="006C6E2D">
      <w:pPr>
        <w:widowControl/>
        <w:jc w:val="left"/>
        <w:rPr>
          <w:rFonts w:ascii="ＭＳ 明朝" w:hAnsi="ＭＳ 明朝"/>
          <w:sz w:val="22"/>
        </w:rPr>
      </w:pPr>
      <w:r w:rsidRPr="006C6E2D">
        <w:rPr>
          <w:rFonts w:ascii="ＭＳ 明朝" w:hAnsi="ＭＳ 明朝" w:hint="eastAsia"/>
          <w:sz w:val="22"/>
        </w:rPr>
        <w:t>・審査委員に景観の専門家を入れる。</w:t>
      </w:r>
    </w:p>
    <w:p w:rsidR="00054F7E" w:rsidRDefault="006C6E2D" w:rsidP="006C6E2D">
      <w:pPr>
        <w:widowControl/>
        <w:ind w:left="220" w:hangingChars="100" w:hanging="220"/>
        <w:jc w:val="left"/>
        <w:rPr>
          <w:rFonts w:ascii="ＭＳ 明朝" w:hAnsi="ＭＳ 明朝"/>
          <w:sz w:val="22"/>
        </w:rPr>
      </w:pPr>
      <w:r w:rsidRPr="006C6E2D">
        <w:rPr>
          <w:rFonts w:ascii="ＭＳ 明朝" w:hAnsi="ＭＳ 明朝" w:hint="eastAsia"/>
          <w:sz w:val="22"/>
        </w:rPr>
        <w:t>・コンペ実施時に府から提示する書類（設計競技実施</w:t>
      </w:r>
    </w:p>
    <w:p w:rsidR="00054F7E" w:rsidRDefault="006C6E2D" w:rsidP="00054F7E">
      <w:pPr>
        <w:widowControl/>
        <w:ind w:leftChars="100" w:left="210"/>
        <w:jc w:val="left"/>
        <w:rPr>
          <w:rFonts w:ascii="ＭＳ 明朝" w:hAnsi="ＭＳ 明朝"/>
          <w:sz w:val="22"/>
        </w:rPr>
      </w:pPr>
      <w:r w:rsidRPr="006C6E2D">
        <w:rPr>
          <w:rFonts w:ascii="ＭＳ 明朝" w:hAnsi="ＭＳ 明朝" w:hint="eastAsia"/>
          <w:sz w:val="22"/>
        </w:rPr>
        <w:t>要領など）に、「設計時には有識者等による景観アド</w:t>
      </w:r>
    </w:p>
    <w:p w:rsidR="006C6E2D" w:rsidRPr="006C6E2D" w:rsidRDefault="006C6E2D" w:rsidP="00054F7E">
      <w:pPr>
        <w:widowControl/>
        <w:ind w:leftChars="100" w:left="210"/>
        <w:jc w:val="left"/>
        <w:rPr>
          <w:rFonts w:ascii="ＭＳ 明朝" w:hAnsi="ＭＳ 明朝"/>
          <w:sz w:val="22"/>
        </w:rPr>
      </w:pPr>
      <w:r w:rsidRPr="006C6E2D">
        <w:rPr>
          <w:rFonts w:ascii="ＭＳ 明朝" w:hAnsi="ＭＳ 明朝" w:hint="eastAsia"/>
          <w:sz w:val="22"/>
        </w:rPr>
        <w:t>バイスを受けること」を明記。</w:t>
      </w:r>
    </w:p>
    <w:p w:rsidR="00054F7E" w:rsidRDefault="006C6E2D" w:rsidP="006C6E2D">
      <w:pPr>
        <w:widowControl/>
        <w:jc w:val="left"/>
        <w:rPr>
          <w:rFonts w:ascii="ＭＳ 明朝" w:hAnsi="ＭＳ 明朝"/>
          <w:sz w:val="22"/>
        </w:rPr>
      </w:pPr>
      <w:r w:rsidRPr="006C6E2D">
        <w:rPr>
          <w:rFonts w:ascii="ＭＳ 明朝" w:hAnsi="ＭＳ 明朝" w:hint="eastAsia"/>
          <w:sz w:val="22"/>
        </w:rPr>
        <w:t>・設計者は、設計段階に第２回景観アドバイザー会議を</w:t>
      </w:r>
    </w:p>
    <w:p w:rsidR="00647401" w:rsidRPr="006C6E2D" w:rsidRDefault="006C6E2D" w:rsidP="00054F7E">
      <w:pPr>
        <w:widowControl/>
        <w:ind w:firstLineChars="100" w:firstLine="220"/>
        <w:jc w:val="left"/>
        <w:rPr>
          <w:rFonts w:ascii="ＭＳ 明朝" w:hAnsi="ＭＳ 明朝"/>
          <w:sz w:val="22"/>
        </w:rPr>
      </w:pPr>
      <w:r w:rsidRPr="006C6E2D">
        <w:rPr>
          <w:rFonts w:ascii="ＭＳ 明朝" w:hAnsi="ＭＳ 明朝" w:hint="eastAsia"/>
          <w:sz w:val="22"/>
        </w:rPr>
        <w:t>受ける。</w:t>
      </w:r>
    </w:p>
    <w:p w:rsidR="006C6E2D" w:rsidRDefault="006C6E2D" w:rsidP="006C6E2D">
      <w:pPr>
        <w:widowControl/>
        <w:jc w:val="left"/>
        <w:rPr>
          <w:rFonts w:ascii="ＭＳ 明朝" w:hAnsi="ＭＳ 明朝"/>
        </w:rPr>
      </w:pPr>
    </w:p>
    <w:p w:rsidR="00CD4C11" w:rsidRPr="006C6E2D" w:rsidRDefault="00CD4C11" w:rsidP="006C6E2D">
      <w:pPr>
        <w:widowControl/>
        <w:jc w:val="left"/>
        <w:rPr>
          <w:rFonts w:ascii="ＭＳ 明朝" w:hAnsi="ＭＳ 明朝"/>
        </w:rPr>
      </w:pPr>
    </w:p>
    <w:p w:rsidR="006C6E2D" w:rsidRPr="006C6E2D" w:rsidRDefault="006C6E2D" w:rsidP="006C6E2D">
      <w:pPr>
        <w:widowControl/>
        <w:jc w:val="left"/>
        <w:rPr>
          <w:rFonts w:ascii="ＭＳ 明朝" w:hAnsi="ＭＳ 明朝"/>
        </w:rPr>
      </w:pPr>
      <w:r>
        <w:rPr>
          <w:rFonts w:ascii="ＭＳ 明朝" w:hAnsi="ＭＳ 明朝" w:hint="eastAsia"/>
        </w:rPr>
        <w:lastRenderedPageBreak/>
        <w:t>８．アドバイスへの対応報告</w:t>
      </w:r>
    </w:p>
    <w:p w:rsidR="006C6E2D" w:rsidRPr="006C6E2D" w:rsidRDefault="006C6E2D" w:rsidP="006C6E2D">
      <w:pPr>
        <w:widowControl/>
        <w:jc w:val="left"/>
        <w:rPr>
          <w:rFonts w:ascii="ＭＳ 明朝" w:hAnsi="ＭＳ 明朝"/>
        </w:rPr>
      </w:pPr>
      <w:r w:rsidRPr="006C6E2D">
        <w:rPr>
          <w:rFonts w:ascii="ＭＳ 明朝" w:hAnsi="ＭＳ 明朝" w:hint="eastAsia"/>
        </w:rPr>
        <w:t>・アドバイスへの対応報告は次回の会議に「アドバイス対応報告シート」により行う。</w:t>
      </w:r>
    </w:p>
    <w:p w:rsidR="006C6E2D" w:rsidRPr="006C6E2D" w:rsidRDefault="006C6E2D" w:rsidP="006C6E2D">
      <w:pPr>
        <w:widowControl/>
        <w:ind w:left="210" w:hangingChars="100" w:hanging="210"/>
        <w:jc w:val="left"/>
        <w:rPr>
          <w:rFonts w:ascii="ＭＳ 明朝" w:hAnsi="ＭＳ 明朝"/>
        </w:rPr>
      </w:pPr>
      <w:r w:rsidRPr="006C6E2D">
        <w:rPr>
          <w:rFonts w:ascii="ＭＳ 明朝" w:hAnsi="ＭＳ 明朝" w:hint="eastAsia"/>
        </w:rPr>
        <w:t>・設計が固まった段階で、「景観形成の目標設定シート」の最終版、及びアドバイス内容への対応状況を事業部局で確認し、景観部局へ報告する。</w:t>
      </w:r>
    </w:p>
    <w:p w:rsidR="00647401" w:rsidRPr="006C6E2D" w:rsidRDefault="006C6E2D" w:rsidP="006C6E2D">
      <w:pPr>
        <w:widowControl/>
        <w:jc w:val="left"/>
        <w:rPr>
          <w:rFonts w:ascii="ＭＳ 明朝" w:hAnsi="ＭＳ 明朝"/>
        </w:rPr>
      </w:pPr>
      <w:r w:rsidRPr="006C6E2D">
        <w:rPr>
          <w:rFonts w:ascii="ＭＳ 明朝" w:hAnsi="ＭＳ 明朝" w:hint="eastAsia"/>
        </w:rPr>
        <w:t>・景観部局は、それらを確認の上、景観アドバイザーへ報告する。</w:t>
      </w:r>
    </w:p>
    <w:p w:rsidR="006C6E2D" w:rsidRDefault="006C6E2D" w:rsidP="006C6E2D">
      <w:pPr>
        <w:widowControl/>
        <w:jc w:val="left"/>
        <w:rPr>
          <w:rFonts w:ascii="ＭＳ 明朝" w:hAnsi="ＭＳ 明朝"/>
        </w:rPr>
      </w:pPr>
    </w:p>
    <w:p w:rsidR="006C6E2D" w:rsidRPr="006C6E2D" w:rsidRDefault="006C6E2D" w:rsidP="006C6E2D">
      <w:pPr>
        <w:widowControl/>
        <w:jc w:val="left"/>
        <w:rPr>
          <w:rFonts w:ascii="ＭＳ 明朝" w:hAnsi="ＭＳ 明朝"/>
        </w:rPr>
      </w:pPr>
      <w:r>
        <w:rPr>
          <w:rFonts w:ascii="ＭＳ 明朝" w:hAnsi="ＭＳ 明朝" w:hint="eastAsia"/>
        </w:rPr>
        <w:t>９．市町村アドバイザー会議との関係</w:t>
      </w:r>
    </w:p>
    <w:p w:rsidR="006C6E2D" w:rsidRDefault="006C6E2D" w:rsidP="00054F7E">
      <w:pPr>
        <w:widowControl/>
        <w:ind w:leftChars="100" w:left="210"/>
        <w:jc w:val="left"/>
        <w:rPr>
          <w:rFonts w:ascii="ＭＳ 明朝" w:hAnsi="ＭＳ 明朝"/>
        </w:rPr>
      </w:pPr>
      <w:r w:rsidRPr="006C6E2D">
        <w:rPr>
          <w:rFonts w:ascii="ＭＳ 明朝" w:hAnsi="ＭＳ 明朝" w:hint="eastAsia"/>
        </w:rPr>
        <w:t>市町村景観アドバイザー制度との兼ね合い、諮るタイミングについて市町村と調整の上、決定する。</w:t>
      </w:r>
    </w:p>
    <w:p w:rsidR="00054F7E" w:rsidRPr="00054F7E" w:rsidRDefault="00054F7E" w:rsidP="00054F7E">
      <w:pPr>
        <w:widowControl/>
        <w:jc w:val="left"/>
        <w:rPr>
          <w:rFonts w:ascii="ＭＳ 明朝" w:hAnsi="ＭＳ 明朝"/>
        </w:rPr>
      </w:pPr>
      <w:r>
        <w:rPr>
          <w:rFonts w:ascii="ＭＳ 明朝" w:hAnsi="ＭＳ 明朝" w:hint="eastAsia"/>
        </w:rPr>
        <w:t>①</w:t>
      </w:r>
      <w:r w:rsidRPr="00054F7E">
        <w:rPr>
          <w:rFonts w:ascii="ＭＳ 明朝" w:hAnsi="ＭＳ 明朝" w:hint="eastAsia"/>
        </w:rPr>
        <w:t>府景観アドバイザー会議（※）の対象かつ市町村景観アドバイザー制度の対象</w:t>
      </w:r>
    </w:p>
    <w:p w:rsidR="00054F7E" w:rsidRPr="00054F7E" w:rsidRDefault="00810358" w:rsidP="006C6E2D">
      <w:pPr>
        <w:widowControl/>
        <w:jc w:val="left"/>
        <w:rPr>
          <w:rFonts w:ascii="ＭＳ 明朝" w:hAnsi="ＭＳ 明朝"/>
        </w:rPr>
      </w:pPr>
      <w:r>
        <w:rPr>
          <w:rFonts w:ascii="ＭＳ 明朝" w:hAnsi="ＭＳ 明朝"/>
          <w:noProof/>
        </w:rPr>
        <w:drawing>
          <wp:anchor distT="0" distB="0" distL="114300" distR="114300" simplePos="0" relativeHeight="251661312" behindDoc="0" locked="0" layoutInCell="1" allowOverlap="1">
            <wp:simplePos x="0" y="0"/>
            <wp:positionH relativeFrom="column">
              <wp:posOffset>3829685</wp:posOffset>
            </wp:positionH>
            <wp:positionV relativeFrom="paragraph">
              <wp:posOffset>213360</wp:posOffset>
            </wp:positionV>
            <wp:extent cx="2247900" cy="14884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F7E" w:rsidRPr="00054F7E">
        <w:rPr>
          <w:rFonts w:ascii="ＭＳ 明朝" w:hAnsi="ＭＳ 明朝" w:hint="eastAsia"/>
        </w:rPr>
        <w:t xml:space="preserve">　（※）義務、希望とも</w:t>
      </w:r>
    </w:p>
    <w:p w:rsidR="00054F7E" w:rsidRP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○市町村との情報共有等</w:t>
      </w:r>
    </w:p>
    <w:p w:rsid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・市町村の景観担当窓口や景観に関する基準等、事業課等</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へ伝達</w:t>
      </w:r>
      <w:r>
        <w:rPr>
          <w:rFonts w:ascii="ＭＳ 明朝" w:hAnsi="ＭＳ 明朝" w:hint="eastAsia"/>
        </w:rPr>
        <w:t>し、</w:t>
      </w:r>
      <w:r w:rsidRPr="00054F7E">
        <w:rPr>
          <w:rFonts w:ascii="ＭＳ 明朝" w:hAnsi="ＭＳ 明朝" w:hint="eastAsia"/>
        </w:rPr>
        <w:t>共有化</w:t>
      </w:r>
      <w:r>
        <w:rPr>
          <w:rFonts w:ascii="ＭＳ 明朝" w:hAnsi="ＭＳ 明朝" w:hint="eastAsia"/>
        </w:rPr>
        <w:t>する。</w:t>
      </w:r>
    </w:p>
    <w:p w:rsidR="00054F7E" w:rsidRDefault="00054F7E" w:rsidP="00054F7E">
      <w:pPr>
        <w:widowControl/>
        <w:ind w:firstLineChars="100" w:firstLine="210"/>
        <w:jc w:val="left"/>
        <w:rPr>
          <w:rFonts w:ascii="ＭＳ 明朝" w:hAnsi="ＭＳ 明朝"/>
        </w:rPr>
      </w:pPr>
      <w:r>
        <w:rPr>
          <w:rFonts w:ascii="ＭＳ 明朝" w:hAnsi="ＭＳ 明朝" w:hint="eastAsia"/>
        </w:rPr>
        <w:t>・</w:t>
      </w:r>
      <w:r w:rsidRPr="00054F7E">
        <w:rPr>
          <w:rFonts w:ascii="ＭＳ 明朝" w:hAnsi="ＭＳ 明朝" w:hint="eastAsia"/>
        </w:rPr>
        <w:t>府景観アドバイザー会議に市町村の景観担当が同席</w:t>
      </w:r>
      <w:r>
        <w:rPr>
          <w:rFonts w:ascii="ＭＳ 明朝" w:hAnsi="ＭＳ 明朝" w:hint="eastAsia"/>
        </w:rPr>
        <w:t>する。</w:t>
      </w:r>
    </w:p>
    <w:p w:rsidR="00054F7E" w:rsidRPr="00054F7E" w:rsidRDefault="00054F7E" w:rsidP="00054F7E">
      <w:pPr>
        <w:widowControl/>
        <w:ind w:firstLineChars="100" w:firstLine="210"/>
        <w:jc w:val="left"/>
        <w:rPr>
          <w:rFonts w:ascii="ＭＳ 明朝" w:hAnsi="ＭＳ 明朝"/>
        </w:rPr>
      </w:pPr>
      <w:r w:rsidRPr="00054F7E">
        <w:rPr>
          <w:rFonts w:ascii="ＭＳ 明朝" w:hAnsi="ＭＳ 明朝" w:hint="eastAsia"/>
        </w:rPr>
        <w:t>○会議のタイミング</w:t>
      </w:r>
    </w:p>
    <w:p w:rsidR="00054F7E" w:rsidRDefault="00054F7E" w:rsidP="00054F7E">
      <w:pPr>
        <w:widowControl/>
        <w:ind w:firstLineChars="100" w:firstLine="210"/>
        <w:jc w:val="left"/>
        <w:rPr>
          <w:rFonts w:ascii="ＭＳ 明朝" w:hAnsi="ＭＳ 明朝"/>
        </w:rPr>
      </w:pPr>
      <w:r w:rsidRPr="00054F7E">
        <w:rPr>
          <w:rFonts w:ascii="ＭＳ 明朝" w:hAnsi="ＭＳ 明朝" w:hint="eastAsia"/>
        </w:rPr>
        <w:t>・市町村は、実施設計段階が多いが、府は基本計画段階よ</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り実施</w:t>
      </w:r>
      <w:r w:rsidR="00810358">
        <w:rPr>
          <w:rFonts w:ascii="ＭＳ 明朝" w:hAnsi="ＭＳ 明朝" w:hint="eastAsia"/>
        </w:rPr>
        <w:t>する。</w:t>
      </w:r>
    </w:p>
    <w:p w:rsidR="00054F7E" w:rsidRDefault="00810358" w:rsidP="00054F7E">
      <w:pPr>
        <w:widowControl/>
        <w:ind w:firstLineChars="100" w:firstLine="210"/>
        <w:jc w:val="left"/>
        <w:rPr>
          <w:rFonts w:ascii="ＭＳ 明朝" w:hAnsi="ＭＳ 明朝"/>
        </w:rPr>
      </w:pPr>
      <w:r>
        <w:rPr>
          <w:rFonts w:ascii="ＭＳ 明朝" w:hAnsi="ＭＳ 明朝" w:hint="eastAsia"/>
        </w:rPr>
        <w:t>・市町村会議に諮るタイミング等について</w:t>
      </w:r>
      <w:r w:rsidR="00054F7E" w:rsidRPr="00054F7E">
        <w:rPr>
          <w:rFonts w:ascii="ＭＳ 明朝" w:hAnsi="ＭＳ 明朝" w:hint="eastAsia"/>
        </w:rPr>
        <w:t>市町村と調整</w:t>
      </w:r>
      <w:r>
        <w:rPr>
          <w:rFonts w:ascii="ＭＳ 明朝" w:hAnsi="ＭＳ 明朝" w:hint="eastAsia"/>
        </w:rPr>
        <w:t>して決定する。</w:t>
      </w:r>
    </w:p>
    <w:p w:rsidR="00054F7E" w:rsidRPr="00810358" w:rsidRDefault="00054F7E" w:rsidP="00054F7E">
      <w:pPr>
        <w:widowControl/>
        <w:jc w:val="left"/>
        <w:rPr>
          <w:rFonts w:ascii="ＭＳ 明朝" w:hAnsi="ＭＳ 明朝"/>
        </w:rPr>
      </w:pPr>
    </w:p>
    <w:p w:rsidR="00054F7E" w:rsidRPr="00054F7E" w:rsidRDefault="00054F7E" w:rsidP="00054F7E">
      <w:pPr>
        <w:widowControl/>
        <w:jc w:val="left"/>
        <w:rPr>
          <w:rFonts w:ascii="ＭＳ 明朝" w:hAnsi="ＭＳ 明朝"/>
        </w:rPr>
      </w:pPr>
      <w:r>
        <w:rPr>
          <w:rFonts w:ascii="ＭＳ 明朝" w:hAnsi="ＭＳ 明朝" w:hint="eastAsia"/>
        </w:rPr>
        <w:t>②</w:t>
      </w:r>
      <w:r w:rsidRPr="00054F7E">
        <w:rPr>
          <w:rFonts w:ascii="ＭＳ 明朝" w:hAnsi="ＭＳ 明朝" w:hint="eastAsia"/>
        </w:rPr>
        <w:t>府景観アドバイザー会議（※）</w:t>
      </w:r>
      <w:r w:rsidRPr="00054F7E">
        <w:rPr>
          <w:rFonts w:ascii="ＭＳ 明朝" w:hAnsi="ＭＳ 明朝"/>
        </w:rPr>
        <w:t xml:space="preserve"> の対象かつ市町村景観アドバイザー制度の対象外</w:t>
      </w:r>
    </w:p>
    <w:p w:rsidR="00054F7E" w:rsidRPr="00054F7E" w:rsidRDefault="00054F7E" w:rsidP="00054F7E">
      <w:pPr>
        <w:widowControl/>
        <w:jc w:val="left"/>
        <w:rPr>
          <w:rFonts w:ascii="ＭＳ 明朝" w:hAnsi="ＭＳ 明朝"/>
        </w:rPr>
      </w:pPr>
      <w:r>
        <w:rPr>
          <w:rFonts w:ascii="ＭＳ 明朝" w:hAnsi="ＭＳ 明朝"/>
          <w:noProof/>
        </w:rPr>
        <w:drawing>
          <wp:anchor distT="0" distB="0" distL="114300" distR="114300" simplePos="0" relativeHeight="251662336" behindDoc="0" locked="0" layoutInCell="1" allowOverlap="1">
            <wp:simplePos x="0" y="0"/>
            <wp:positionH relativeFrom="column">
              <wp:posOffset>3817106</wp:posOffset>
            </wp:positionH>
            <wp:positionV relativeFrom="paragraph">
              <wp:posOffset>70485</wp:posOffset>
            </wp:positionV>
            <wp:extent cx="2256155" cy="1497197"/>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6155" cy="1497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7E">
        <w:rPr>
          <w:rFonts w:ascii="ＭＳ 明朝" w:hAnsi="ＭＳ 明朝" w:hint="eastAsia"/>
        </w:rPr>
        <w:t xml:space="preserve">　○市町村との情報共有等</w:t>
      </w:r>
    </w:p>
    <w:p w:rsid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・市町村の景観担当窓口や景観に関する基準等、事業課等</w:t>
      </w:r>
    </w:p>
    <w:p w:rsidR="00054F7E" w:rsidRPr="00054F7E" w:rsidRDefault="00054F7E" w:rsidP="00054F7E">
      <w:pPr>
        <w:widowControl/>
        <w:ind w:firstLineChars="200" w:firstLine="420"/>
        <w:jc w:val="left"/>
        <w:rPr>
          <w:rFonts w:ascii="ＭＳ 明朝" w:hAnsi="ＭＳ 明朝"/>
        </w:rPr>
      </w:pPr>
      <w:r w:rsidRPr="00054F7E">
        <w:rPr>
          <w:rFonts w:ascii="ＭＳ 明朝" w:hAnsi="ＭＳ 明朝" w:hint="eastAsia"/>
        </w:rPr>
        <w:t>へ伝達</w:t>
      </w:r>
      <w:r w:rsidR="00810358">
        <w:rPr>
          <w:rFonts w:ascii="ＭＳ 明朝" w:hAnsi="ＭＳ 明朝" w:hint="eastAsia"/>
        </w:rPr>
        <w:t>し、</w:t>
      </w:r>
      <w:r w:rsidRPr="00054F7E">
        <w:rPr>
          <w:rFonts w:ascii="ＭＳ 明朝" w:hAnsi="ＭＳ 明朝" w:hint="eastAsia"/>
        </w:rPr>
        <w:t>共有化</w:t>
      </w:r>
      <w:r w:rsidR="00810358">
        <w:rPr>
          <w:rFonts w:ascii="ＭＳ 明朝" w:hAnsi="ＭＳ 明朝" w:hint="eastAsia"/>
        </w:rPr>
        <w:t>する。</w:t>
      </w:r>
    </w:p>
    <w:p w:rsid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府景観アドバイザー会議に市町村の景観担当が同席</w:t>
      </w:r>
      <w:r w:rsidR="00810358">
        <w:rPr>
          <w:rFonts w:ascii="ＭＳ 明朝" w:hAnsi="ＭＳ 明朝" w:hint="eastAsia"/>
        </w:rPr>
        <w:t>する。</w:t>
      </w: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Pr="00054F7E" w:rsidRDefault="00054F7E" w:rsidP="00054F7E">
      <w:pPr>
        <w:widowControl/>
        <w:jc w:val="left"/>
        <w:rPr>
          <w:rFonts w:ascii="ＭＳ 明朝" w:hAnsi="ＭＳ 明朝"/>
        </w:rPr>
      </w:pPr>
      <w:r>
        <w:rPr>
          <w:rFonts w:ascii="ＭＳ 明朝" w:hAnsi="ＭＳ 明朝" w:hint="eastAsia"/>
        </w:rPr>
        <w:t>③</w:t>
      </w:r>
      <w:r w:rsidRPr="00054F7E">
        <w:rPr>
          <w:rFonts w:ascii="ＭＳ 明朝" w:hAnsi="ＭＳ 明朝" w:hint="eastAsia"/>
        </w:rPr>
        <w:t>府景観アドバイザー会議（※）</w:t>
      </w:r>
      <w:r w:rsidRPr="00054F7E">
        <w:rPr>
          <w:rFonts w:ascii="ＭＳ 明朝" w:hAnsi="ＭＳ 明朝"/>
        </w:rPr>
        <w:t xml:space="preserve"> の対象外</w:t>
      </w:r>
    </w:p>
    <w:p w:rsidR="00054F7E" w:rsidRPr="00054F7E" w:rsidRDefault="00054F7E" w:rsidP="00054F7E">
      <w:pPr>
        <w:widowControl/>
        <w:jc w:val="left"/>
        <w:rPr>
          <w:rFonts w:ascii="ＭＳ 明朝" w:hAnsi="ＭＳ 明朝"/>
        </w:rPr>
      </w:pPr>
      <w:r>
        <w:rPr>
          <w:rFonts w:ascii="ＭＳ 明朝" w:hAnsi="ＭＳ 明朝"/>
          <w:noProof/>
        </w:rPr>
        <w:drawing>
          <wp:anchor distT="0" distB="0" distL="114300" distR="114300" simplePos="0" relativeHeight="251663360" behindDoc="0" locked="0" layoutInCell="1" allowOverlap="1">
            <wp:simplePos x="0" y="0"/>
            <wp:positionH relativeFrom="column">
              <wp:posOffset>3825485</wp:posOffset>
            </wp:positionH>
            <wp:positionV relativeFrom="paragraph">
              <wp:posOffset>194310</wp:posOffset>
            </wp:positionV>
            <wp:extent cx="2252345" cy="152459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2345" cy="15245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F7E">
        <w:rPr>
          <w:rFonts w:ascii="ＭＳ 明朝" w:hAnsi="ＭＳ 明朝" w:hint="eastAsia"/>
        </w:rPr>
        <w:t xml:space="preserve">　○市町村との情報共有等</w:t>
      </w:r>
    </w:p>
    <w:p w:rsidR="00054F7E" w:rsidRPr="00054F7E" w:rsidRDefault="00054F7E" w:rsidP="00054F7E">
      <w:pPr>
        <w:widowControl/>
        <w:jc w:val="left"/>
        <w:rPr>
          <w:rFonts w:ascii="ＭＳ 明朝" w:hAnsi="ＭＳ 明朝"/>
        </w:rPr>
      </w:pPr>
      <w:r>
        <w:rPr>
          <w:rFonts w:ascii="ＭＳ 明朝" w:hAnsi="ＭＳ 明朝" w:hint="eastAsia"/>
        </w:rPr>
        <w:t xml:space="preserve">　</w:t>
      </w:r>
      <w:r w:rsidRPr="00054F7E">
        <w:rPr>
          <w:rFonts w:ascii="ＭＳ 明朝" w:hAnsi="ＭＳ 明朝" w:hint="eastAsia"/>
        </w:rPr>
        <w:t>・市町村の景観担当窓口や景観に関する基準等、</w:t>
      </w:r>
    </w:p>
    <w:p w:rsidR="00054F7E" w:rsidRPr="00054F7E" w:rsidRDefault="00810358" w:rsidP="00054F7E">
      <w:pPr>
        <w:widowControl/>
        <w:jc w:val="left"/>
        <w:rPr>
          <w:rFonts w:ascii="ＭＳ 明朝" w:hAnsi="ＭＳ 明朝"/>
        </w:rPr>
      </w:pPr>
      <w:r>
        <w:rPr>
          <w:rFonts w:ascii="ＭＳ 明朝" w:hAnsi="ＭＳ 明朝" w:hint="eastAsia"/>
        </w:rPr>
        <w:t xml:space="preserve">　　　事業課等へ伝達し、</w:t>
      </w:r>
      <w:r w:rsidR="00054F7E" w:rsidRPr="00054F7E">
        <w:rPr>
          <w:rFonts w:ascii="ＭＳ 明朝" w:hAnsi="ＭＳ 明朝" w:hint="eastAsia"/>
        </w:rPr>
        <w:t>共有化</w:t>
      </w:r>
      <w:r>
        <w:rPr>
          <w:rFonts w:ascii="ＭＳ 明朝" w:hAnsi="ＭＳ 明朝" w:hint="eastAsia"/>
        </w:rPr>
        <w:t>する。</w:t>
      </w: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Default="00054F7E" w:rsidP="006C6E2D">
      <w:pPr>
        <w:widowControl/>
        <w:jc w:val="left"/>
        <w:rPr>
          <w:rFonts w:ascii="ＭＳ 明朝" w:hAnsi="ＭＳ 明朝"/>
        </w:rPr>
      </w:pPr>
    </w:p>
    <w:p w:rsidR="00054F7E" w:rsidRPr="006C6E2D" w:rsidRDefault="00054F7E" w:rsidP="006C6E2D">
      <w:pPr>
        <w:widowControl/>
        <w:jc w:val="left"/>
        <w:rPr>
          <w:rFonts w:ascii="ＭＳ 明朝" w:hAnsi="ＭＳ 明朝"/>
        </w:rPr>
      </w:pPr>
    </w:p>
    <w:sectPr w:rsidR="00054F7E" w:rsidRPr="006C6E2D" w:rsidSect="00FE1B7C">
      <w:pgSz w:w="11906" w:h="16838"/>
      <w:pgMar w:top="1134"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48" w:rsidRDefault="00FE7648" w:rsidP="00AD57DA">
      <w:r>
        <w:separator/>
      </w:r>
    </w:p>
  </w:endnote>
  <w:endnote w:type="continuationSeparator" w:id="0">
    <w:p w:rsidR="00FE7648" w:rsidRDefault="00FE7648"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48" w:rsidRDefault="00FE7648" w:rsidP="00AD57DA">
      <w:r>
        <w:separator/>
      </w:r>
    </w:p>
  </w:footnote>
  <w:footnote w:type="continuationSeparator" w:id="0">
    <w:p w:rsidR="00FE7648" w:rsidRDefault="00FE7648"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2B6251"/>
    <w:multiLevelType w:val="hybridMultilevel"/>
    <w:tmpl w:val="D1C291E6"/>
    <w:lvl w:ilvl="0" w:tplc="27B8FF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3542B"/>
    <w:rsid w:val="000527AE"/>
    <w:rsid w:val="00054F7E"/>
    <w:rsid w:val="0006518E"/>
    <w:rsid w:val="000662E4"/>
    <w:rsid w:val="0009529C"/>
    <w:rsid w:val="000C40DD"/>
    <w:rsid w:val="000F1187"/>
    <w:rsid w:val="00101C0A"/>
    <w:rsid w:val="00107509"/>
    <w:rsid w:val="001A791D"/>
    <w:rsid w:val="001D5321"/>
    <w:rsid w:val="0022142A"/>
    <w:rsid w:val="002C0347"/>
    <w:rsid w:val="002E103A"/>
    <w:rsid w:val="0030563A"/>
    <w:rsid w:val="0033340C"/>
    <w:rsid w:val="0034239C"/>
    <w:rsid w:val="003F281C"/>
    <w:rsid w:val="0042697B"/>
    <w:rsid w:val="0049415E"/>
    <w:rsid w:val="004D4101"/>
    <w:rsid w:val="0051634A"/>
    <w:rsid w:val="005604A1"/>
    <w:rsid w:val="0059436D"/>
    <w:rsid w:val="005C2CB7"/>
    <w:rsid w:val="00615756"/>
    <w:rsid w:val="00646D42"/>
    <w:rsid w:val="00646F4B"/>
    <w:rsid w:val="00647401"/>
    <w:rsid w:val="00672855"/>
    <w:rsid w:val="006C6E2D"/>
    <w:rsid w:val="006D61B7"/>
    <w:rsid w:val="0070041F"/>
    <w:rsid w:val="00791996"/>
    <w:rsid w:val="007B51DD"/>
    <w:rsid w:val="007D46C9"/>
    <w:rsid w:val="007D562C"/>
    <w:rsid w:val="007E4914"/>
    <w:rsid w:val="00810358"/>
    <w:rsid w:val="008152A0"/>
    <w:rsid w:val="008C3F8C"/>
    <w:rsid w:val="008E366B"/>
    <w:rsid w:val="0094105A"/>
    <w:rsid w:val="009A52FF"/>
    <w:rsid w:val="00A24777"/>
    <w:rsid w:val="00A314CA"/>
    <w:rsid w:val="00A72685"/>
    <w:rsid w:val="00A85E78"/>
    <w:rsid w:val="00A9503C"/>
    <w:rsid w:val="00AD57DA"/>
    <w:rsid w:val="00B02F27"/>
    <w:rsid w:val="00B81141"/>
    <w:rsid w:val="00BB06C5"/>
    <w:rsid w:val="00BD63A7"/>
    <w:rsid w:val="00C1783D"/>
    <w:rsid w:val="00C33E92"/>
    <w:rsid w:val="00C6229B"/>
    <w:rsid w:val="00C66A4C"/>
    <w:rsid w:val="00C73CB1"/>
    <w:rsid w:val="00C81068"/>
    <w:rsid w:val="00C9499D"/>
    <w:rsid w:val="00CA56D9"/>
    <w:rsid w:val="00CB30C1"/>
    <w:rsid w:val="00CD4C11"/>
    <w:rsid w:val="00CE0369"/>
    <w:rsid w:val="00CE0C35"/>
    <w:rsid w:val="00D17C9B"/>
    <w:rsid w:val="00D338DF"/>
    <w:rsid w:val="00D47BB5"/>
    <w:rsid w:val="00D60C38"/>
    <w:rsid w:val="00D876BF"/>
    <w:rsid w:val="00DD2208"/>
    <w:rsid w:val="00E03A79"/>
    <w:rsid w:val="00E4249D"/>
    <w:rsid w:val="00EA036B"/>
    <w:rsid w:val="00EC68BD"/>
    <w:rsid w:val="00EC6AAB"/>
    <w:rsid w:val="00EC76A2"/>
    <w:rsid w:val="00ED7A95"/>
    <w:rsid w:val="00EE4E7A"/>
    <w:rsid w:val="00F17DA7"/>
    <w:rsid w:val="00F22BB3"/>
    <w:rsid w:val="00F376A1"/>
    <w:rsid w:val="00F767ED"/>
    <w:rsid w:val="00F95019"/>
    <w:rsid w:val="00FA7C96"/>
    <w:rsid w:val="00FC6143"/>
    <w:rsid w:val="00FE1B7C"/>
    <w:rsid w:val="00FE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E91E59"/>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0C43-0F90-4277-A635-0DA9617B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2020-06-30T00:26:00Z</cp:lastPrinted>
  <dcterms:created xsi:type="dcterms:W3CDTF">2020-04-17T08:29:00Z</dcterms:created>
  <dcterms:modified xsi:type="dcterms:W3CDTF">2020-07-27T04:49:00Z</dcterms:modified>
</cp:coreProperties>
</file>