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765" w:rsidRPr="00BC1765" w:rsidRDefault="00BC1765" w:rsidP="00BC1765">
      <w:pPr>
        <w:widowControl/>
        <w:jc w:val="left"/>
        <w:rPr>
          <w:rFonts w:ascii="ＭＳ ゴシック" w:eastAsia="ＭＳ ゴシック" w:hAnsi="ＭＳ ゴシック"/>
        </w:rPr>
      </w:pPr>
    </w:p>
    <w:p w:rsidR="00BC1765" w:rsidRPr="00BC1765" w:rsidRDefault="00BC1765" w:rsidP="00BC1765">
      <w:pPr>
        <w:widowControl/>
        <w:jc w:val="left"/>
        <w:rPr>
          <w:rFonts w:ascii="ＭＳ ゴシック" w:eastAsia="ＭＳ ゴシック" w:hAnsi="ＭＳ ゴシック"/>
        </w:rPr>
      </w:pPr>
    </w:p>
    <w:tbl>
      <w:tblPr>
        <w:tblStyle w:val="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blLook w:val="04A0" w:firstRow="1" w:lastRow="0" w:firstColumn="1" w:lastColumn="0" w:noHBand="0" w:noVBand="1"/>
      </w:tblPr>
      <w:tblGrid>
        <w:gridCol w:w="684"/>
        <w:gridCol w:w="1257"/>
        <w:gridCol w:w="185"/>
        <w:gridCol w:w="7728"/>
      </w:tblGrid>
      <w:tr w:rsidR="00BC1765" w:rsidRPr="00BC1765" w:rsidTr="00C54816">
        <w:tc>
          <w:tcPr>
            <w:tcW w:w="5000" w:type="pct"/>
            <w:gridSpan w:val="4"/>
            <w:tcBorders>
              <w:top w:val="single" w:sz="18" w:space="0" w:color="244061"/>
              <w:left w:val="single" w:sz="18" w:space="0" w:color="244061"/>
              <w:bottom w:val="single" w:sz="18" w:space="0" w:color="244061"/>
              <w:right w:val="single" w:sz="18" w:space="0" w:color="244061"/>
            </w:tcBorders>
            <w:shd w:val="clear" w:color="auto" w:fill="244061"/>
          </w:tcPr>
          <w:p w:rsidR="00BC1765" w:rsidRPr="00BC1765" w:rsidRDefault="00BC1765" w:rsidP="00BC1765">
            <w:pPr>
              <w:jc w:val="left"/>
              <w:rPr>
                <w:rFonts w:ascii="ＭＳ ゴシック" w:eastAsia="ＭＳ ゴシック" w:hAnsi="ＭＳ ゴシック"/>
                <w:b/>
                <w:color w:val="000000"/>
                <w:sz w:val="28"/>
                <w:szCs w:val="28"/>
              </w:rPr>
            </w:pPr>
            <w:r w:rsidRPr="00BC1765">
              <w:rPr>
                <w:rFonts w:ascii="ＭＳ ゴシック" w:eastAsia="ＭＳ ゴシック" w:hAnsi="ＭＳ ゴシック" w:hint="eastAsia"/>
                <w:b/>
                <w:color w:val="FFFFFF"/>
                <w:sz w:val="28"/>
                <w:szCs w:val="28"/>
              </w:rPr>
              <w:t>用語集</w:t>
            </w:r>
          </w:p>
        </w:tc>
      </w:tr>
      <w:tr w:rsidR="00BC1765" w:rsidRPr="00BC1765" w:rsidTr="00C54816">
        <w:trPr>
          <w:trHeight w:val="265"/>
        </w:trPr>
        <w:tc>
          <w:tcPr>
            <w:tcW w:w="5000" w:type="pct"/>
            <w:gridSpan w:val="4"/>
            <w:tcBorders>
              <w:top w:val="single" w:sz="18" w:space="0" w:color="244061"/>
            </w:tcBorders>
            <w:shd w:val="clear" w:color="auto" w:fill="auto"/>
          </w:tcPr>
          <w:p w:rsidR="00BC1765" w:rsidRPr="00BC1765" w:rsidRDefault="00BC1765" w:rsidP="00BC1765">
            <w:pPr>
              <w:jc w:val="left"/>
              <w:rPr>
                <w:rFonts w:ascii="ＭＳ ゴシック" w:eastAsia="ＭＳ ゴシック" w:hAnsi="ＭＳ ゴシック"/>
                <w:b/>
                <w:color w:val="000000"/>
                <w:szCs w:val="21"/>
              </w:rPr>
            </w:pPr>
          </w:p>
          <w:p w:rsidR="00BC1765" w:rsidRPr="00BC1765" w:rsidRDefault="00BC1765" w:rsidP="00BC1765">
            <w:pPr>
              <w:ind w:firstLineChars="100" w:firstLine="210"/>
              <w:jc w:val="left"/>
              <w:rPr>
                <w:rFonts w:ascii="ＭＳ ゴシック" w:eastAsia="ＭＳ ゴシック" w:hAnsi="ＭＳ ゴシック"/>
                <w:color w:val="000000"/>
                <w:szCs w:val="21"/>
              </w:rPr>
            </w:pPr>
            <w:r w:rsidRPr="00BC1765">
              <w:rPr>
                <w:rFonts w:ascii="ＭＳ ゴシック" w:eastAsia="ＭＳ ゴシック" w:hAnsi="ＭＳ ゴシック" w:hint="eastAsia"/>
                <w:color w:val="000000"/>
                <w:szCs w:val="21"/>
              </w:rPr>
              <w:t>用語の解説については、次の書籍等を引用しました。</w:t>
            </w:r>
          </w:p>
          <w:p w:rsidR="00BC1765" w:rsidRPr="00BC1765" w:rsidRDefault="00BC1765" w:rsidP="00BC1765">
            <w:pPr>
              <w:ind w:firstLineChars="100" w:firstLine="210"/>
              <w:jc w:val="left"/>
              <w:rPr>
                <w:rFonts w:ascii="ＭＳ ゴシック" w:eastAsia="ＭＳ ゴシック" w:hAnsi="ＭＳ ゴシック"/>
                <w:color w:val="000000"/>
                <w:szCs w:val="21"/>
              </w:rPr>
            </w:pPr>
            <w:r w:rsidRPr="00BC1765">
              <w:rPr>
                <w:rFonts w:ascii="ＭＳ ゴシック" w:eastAsia="ＭＳ ゴシック" w:hAnsi="ＭＳ ゴシック" w:hint="eastAsia"/>
                <w:color w:val="000000"/>
                <w:szCs w:val="21"/>
              </w:rPr>
              <w:t>本書において、専門用語、なじみのない用語及び難解な用語について、多くの方々にご理解していただけるよう、引用文献を活用して、できるかぎり説明していますが、一部説明困難な箇所があることをご了承願います。</w:t>
            </w:r>
          </w:p>
          <w:p w:rsidR="00BC1765" w:rsidRPr="00BC1765" w:rsidRDefault="00BC1765" w:rsidP="00BC1765">
            <w:pPr>
              <w:jc w:val="left"/>
              <w:rPr>
                <w:rFonts w:ascii="ＭＳ ゴシック" w:eastAsia="ＭＳ ゴシック" w:hAnsi="ＭＳ ゴシック"/>
                <w:b/>
                <w:color w:val="000000"/>
                <w:szCs w:val="21"/>
              </w:rPr>
            </w:pPr>
          </w:p>
          <w:p w:rsidR="00BC1765" w:rsidRPr="00BC1765" w:rsidRDefault="00BC1765" w:rsidP="00BC1765">
            <w:pPr>
              <w:ind w:firstLineChars="100" w:firstLine="210"/>
              <w:jc w:val="left"/>
              <w:rPr>
                <w:rFonts w:ascii="ＭＳ ゴシック" w:eastAsia="ＭＳ ゴシック" w:hAnsi="ＭＳ ゴシック"/>
                <w:color w:val="000000"/>
                <w:szCs w:val="21"/>
              </w:rPr>
            </w:pPr>
            <w:r w:rsidRPr="00BC1765">
              <w:rPr>
                <w:rFonts w:ascii="ＭＳ ゴシック" w:eastAsia="ＭＳ ゴシック" w:hAnsi="ＭＳ ゴシック" w:hint="eastAsia"/>
                <w:color w:val="000000"/>
                <w:szCs w:val="21"/>
              </w:rPr>
              <w:t>引用</w:t>
            </w:r>
          </w:p>
          <w:p w:rsidR="00BC1765" w:rsidRPr="00BC1765" w:rsidRDefault="00BC1765" w:rsidP="00BC1765">
            <w:pPr>
              <w:ind w:firstLineChars="100" w:firstLine="210"/>
              <w:jc w:val="left"/>
              <w:rPr>
                <w:rFonts w:ascii="ＭＳ ゴシック" w:eastAsia="ＭＳ ゴシック" w:hAnsi="ＭＳ ゴシック"/>
                <w:color w:val="000000"/>
                <w:szCs w:val="21"/>
              </w:rPr>
            </w:pPr>
            <w:r w:rsidRPr="00BC1765">
              <w:rPr>
                <w:rFonts w:ascii="ＭＳ ゴシック" w:eastAsia="ＭＳ ゴシック" w:hAnsi="ＭＳ ゴシック" w:hint="eastAsia"/>
                <w:color w:val="000000"/>
                <w:szCs w:val="21"/>
              </w:rPr>
              <w:t xml:space="preserve">　・建築大辞典　彰国社</w:t>
            </w:r>
          </w:p>
          <w:p w:rsidR="00BC1765" w:rsidRPr="00BC1765" w:rsidRDefault="00BC1765" w:rsidP="00BC1765">
            <w:pPr>
              <w:ind w:firstLineChars="100" w:firstLine="210"/>
              <w:jc w:val="left"/>
              <w:rPr>
                <w:rFonts w:ascii="ＭＳ ゴシック" w:eastAsia="ＭＳ ゴシック" w:hAnsi="ＭＳ ゴシック"/>
                <w:color w:val="000000"/>
                <w:szCs w:val="21"/>
              </w:rPr>
            </w:pPr>
            <w:r w:rsidRPr="00BC1765">
              <w:rPr>
                <w:rFonts w:ascii="ＭＳ ゴシック" w:eastAsia="ＭＳ ゴシック" w:hAnsi="ＭＳ ゴシック" w:hint="eastAsia"/>
                <w:color w:val="000000"/>
                <w:szCs w:val="21"/>
              </w:rPr>
              <w:t xml:space="preserve">　・広辞苑　岩波書店</w:t>
            </w:r>
          </w:p>
          <w:p w:rsidR="00BC1765" w:rsidRPr="00BC1765" w:rsidRDefault="00BC1765" w:rsidP="00BC1765">
            <w:pPr>
              <w:ind w:firstLineChars="100" w:firstLine="210"/>
              <w:jc w:val="left"/>
              <w:rPr>
                <w:rFonts w:ascii="ＭＳ ゴシック" w:eastAsia="ＭＳ ゴシック" w:hAnsi="ＭＳ ゴシック"/>
                <w:color w:val="000000"/>
                <w:szCs w:val="21"/>
              </w:rPr>
            </w:pPr>
            <w:r w:rsidRPr="00BC1765">
              <w:rPr>
                <w:rFonts w:ascii="ＭＳ ゴシック" w:eastAsia="ＭＳ ゴシック" w:hAnsi="ＭＳ ゴシック" w:hint="eastAsia"/>
                <w:color w:val="000000"/>
                <w:szCs w:val="21"/>
              </w:rPr>
              <w:t xml:space="preserve">　・大辞林　三省堂</w:t>
            </w:r>
          </w:p>
          <w:p w:rsidR="00BC1765" w:rsidRPr="00BC1765" w:rsidRDefault="00BC1765" w:rsidP="00BC1765">
            <w:pPr>
              <w:ind w:firstLineChars="100" w:firstLine="210"/>
              <w:jc w:val="left"/>
              <w:rPr>
                <w:rFonts w:ascii="ＭＳ ゴシック" w:eastAsia="ＭＳ ゴシック" w:hAnsi="ＭＳ ゴシック"/>
                <w:color w:val="000000"/>
                <w:szCs w:val="21"/>
              </w:rPr>
            </w:pPr>
            <w:r w:rsidRPr="00BC1765">
              <w:rPr>
                <w:rFonts w:ascii="ＭＳ ゴシック" w:eastAsia="ＭＳ ゴシック" w:hAnsi="ＭＳ ゴシック" w:hint="eastAsia"/>
                <w:color w:val="000000"/>
                <w:szCs w:val="21"/>
              </w:rPr>
              <w:t xml:space="preserve">　・公益社団法人　日本オストミー協会　ホームページ</w:t>
            </w:r>
          </w:p>
          <w:p w:rsidR="00BC1765" w:rsidRPr="00BC1765" w:rsidRDefault="00BC1765" w:rsidP="00BC1765">
            <w:pPr>
              <w:jc w:val="left"/>
              <w:rPr>
                <w:rFonts w:ascii="ＭＳ ゴシック" w:eastAsia="ＭＳ ゴシック" w:hAnsi="ＭＳ ゴシック"/>
                <w:b/>
                <w:color w:val="000000"/>
                <w:szCs w:val="21"/>
              </w:rPr>
            </w:pPr>
          </w:p>
        </w:tc>
      </w:tr>
      <w:tr w:rsidR="00BC1765" w:rsidRPr="00BC1765" w:rsidTr="00C54816">
        <w:tc>
          <w:tcPr>
            <w:tcW w:w="347" w:type="pct"/>
            <w:tcBorders>
              <w:left w:val="single" w:sz="18" w:space="0" w:color="244061"/>
              <w:bottom w:val="single" w:sz="18" w:space="0" w:color="244061"/>
            </w:tcBorders>
            <w:shd w:val="clear" w:color="auto" w:fill="B8CCE4"/>
          </w:tcPr>
          <w:p w:rsidR="00BC1765" w:rsidRPr="00BC1765" w:rsidRDefault="00BC1765" w:rsidP="00BC1765">
            <w:pPr>
              <w:jc w:val="left"/>
              <w:rPr>
                <w:rFonts w:ascii="ＭＳ ゴシック" w:eastAsia="ＭＳ ゴシック" w:hAnsi="ＭＳ ゴシック"/>
                <w:color w:val="000000"/>
                <w:szCs w:val="21"/>
              </w:rPr>
            </w:pPr>
            <w:r w:rsidRPr="00BC1765">
              <w:rPr>
                <w:rFonts w:ascii="ＭＳ ゴシック" w:eastAsia="ＭＳ ゴシック" w:hAnsi="ＭＳ ゴシック" w:hint="eastAsia"/>
                <w:b/>
                <w:color w:val="000000"/>
                <w:szCs w:val="21"/>
              </w:rPr>
              <w:t>あ行</w:t>
            </w:r>
          </w:p>
        </w:tc>
        <w:tc>
          <w:tcPr>
            <w:tcW w:w="4653" w:type="pct"/>
            <w:gridSpan w:val="3"/>
            <w:tcBorders>
              <w:left w:val="nil"/>
              <w:bottom w:val="single" w:sz="18" w:space="0" w:color="244061"/>
            </w:tcBorders>
            <w:shd w:val="clear" w:color="auto" w:fill="auto"/>
          </w:tcPr>
          <w:p w:rsidR="00BC1765" w:rsidRPr="00BC1765" w:rsidRDefault="00BC1765" w:rsidP="00BC1765">
            <w:pPr>
              <w:jc w:val="left"/>
              <w:rPr>
                <w:rFonts w:ascii="ＭＳ ゴシック" w:eastAsia="ＭＳ ゴシック" w:hAnsi="ＭＳ ゴシック" w:hint="eastAsia"/>
                <w:color w:val="000000"/>
                <w:szCs w:val="21"/>
              </w:rPr>
            </w:pPr>
          </w:p>
        </w:tc>
      </w:tr>
      <w:tr w:rsidR="00BC1765" w:rsidRPr="00BC1765" w:rsidTr="00C54816">
        <w:tc>
          <w:tcPr>
            <w:tcW w:w="985" w:type="pct"/>
            <w:gridSpan w:val="2"/>
            <w:tcBorders>
              <w:top w:val="single" w:sz="18" w:space="0" w:color="244061"/>
            </w:tcBorders>
            <w:shd w:val="clear" w:color="auto" w:fill="auto"/>
          </w:tcPr>
          <w:p w:rsidR="00BC1765" w:rsidRPr="00BC1765" w:rsidRDefault="00BC1765" w:rsidP="00BC1765">
            <w:pPr>
              <w:jc w:val="left"/>
              <w:rPr>
                <w:rFonts w:ascii="ＭＳ ゴシック" w:eastAsia="ＭＳ ゴシック" w:hAnsi="ＭＳ ゴシック"/>
                <w:color w:val="000000"/>
                <w:w w:val="90"/>
                <w:sz w:val="20"/>
                <w:szCs w:val="21"/>
              </w:rPr>
            </w:pPr>
            <w:r w:rsidRPr="00BC1765">
              <w:rPr>
                <w:rFonts w:ascii="ＭＳ ゴシック" w:eastAsia="ＭＳ ゴシック" w:hAnsi="ＭＳ ゴシック" w:hint="eastAsia"/>
                <w:color w:val="000000"/>
                <w:w w:val="90"/>
                <w:sz w:val="20"/>
                <w:szCs w:val="21"/>
              </w:rPr>
              <w:t>アスペルガー症候群</w:t>
            </w:r>
          </w:p>
        </w:tc>
        <w:tc>
          <w:tcPr>
            <w:tcW w:w="4015" w:type="pct"/>
            <w:gridSpan w:val="2"/>
            <w:tcBorders>
              <w:top w:val="single" w:sz="18" w:space="0" w:color="244061"/>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知的発達の遅れを伴わず、かつ、自閉症の特徴のうち言葉の発達の遅れを伴わない</w:t>
            </w:r>
            <w:r w:rsidRPr="00BC1765">
              <w:rPr>
                <w:rFonts w:ascii="ＭＳ ゴシック" w:eastAsia="ＭＳ ゴシック" w:hAnsi="ＭＳ ゴシック"/>
                <w:color w:val="000000"/>
                <w:sz w:val="20"/>
                <w:szCs w:val="21"/>
              </w:rPr>
              <w:br/>
            </w:r>
            <w:r w:rsidRPr="00BC1765">
              <w:rPr>
                <w:rFonts w:ascii="ＭＳ ゴシック" w:eastAsia="ＭＳ ゴシック" w:hAnsi="ＭＳ ゴシック" w:hint="eastAsia"/>
                <w:color w:val="000000"/>
                <w:sz w:val="20"/>
                <w:szCs w:val="21"/>
              </w:rPr>
              <w:t>広汎性発達障がいの１つ。</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アルコーブ</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室の壁面を後退させて造られた付属的な空間。開き戸の前に空間を造ることで、戸を開けたときに、廊下を歩いている人に戸がぶつからないようにするなど安全面でも効果がある。</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sz w:val="20"/>
                <w:szCs w:val="20"/>
              </w:rPr>
              <w:t>オールジェンダートイレ</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highlight w:val="lightGray"/>
              </w:rPr>
            </w:pPr>
            <w:r w:rsidRPr="00BC1765">
              <w:rPr>
                <w:rFonts w:ascii="ＭＳ ゴシック" w:eastAsia="ＭＳ ゴシック" w:hAnsi="ＭＳ ゴシック" w:hint="eastAsia"/>
                <w:color w:val="000000"/>
                <w:sz w:val="20"/>
                <w:szCs w:val="20"/>
                <w:shd w:val="clear" w:color="auto" w:fill="FFFFFF"/>
              </w:rPr>
              <w:t>男性と女性を区別せずに、誰もが利用できるトイレ</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オストメイト</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ストーマ（人工肛門・人工膀胱）が造設されている人のこと。人工肛門保有者、</w:t>
            </w:r>
            <w:r w:rsidRPr="00BC1765">
              <w:rPr>
                <w:rFonts w:ascii="ＭＳ ゴシック" w:eastAsia="ＭＳ ゴシック" w:hAnsi="ＭＳ ゴシック"/>
                <w:color w:val="000000"/>
                <w:sz w:val="20"/>
                <w:szCs w:val="21"/>
              </w:rPr>
              <w:br/>
            </w:r>
            <w:r w:rsidRPr="00BC1765">
              <w:rPr>
                <w:rFonts w:ascii="ＭＳ ゴシック" w:eastAsia="ＭＳ ゴシック" w:hAnsi="ＭＳ ゴシック" w:hint="eastAsia"/>
                <w:color w:val="000000"/>
                <w:sz w:val="20"/>
                <w:szCs w:val="21"/>
              </w:rPr>
              <w:t>人工膀胱保有者ともいう。</w:t>
            </w:r>
          </w:p>
        </w:tc>
      </w:tr>
      <w:tr w:rsidR="00BC1765" w:rsidRPr="00BC1765" w:rsidTr="00C54816">
        <w:trPr>
          <w:trHeight w:val="87"/>
        </w:trPr>
        <w:tc>
          <w:tcPr>
            <w:tcW w:w="5000" w:type="pct"/>
            <w:gridSpan w:val="4"/>
            <w:shd w:val="clear" w:color="auto" w:fill="auto"/>
          </w:tcPr>
          <w:p w:rsidR="00BC1765" w:rsidRPr="00BC1765" w:rsidRDefault="00BC1765" w:rsidP="00BC1765">
            <w:pPr>
              <w:jc w:val="left"/>
              <w:rPr>
                <w:rFonts w:ascii="ＭＳ ゴシック" w:eastAsia="ＭＳ ゴシック" w:hAnsi="ＭＳ ゴシック"/>
                <w:color w:val="000000"/>
                <w:szCs w:val="21"/>
              </w:rPr>
            </w:pPr>
          </w:p>
        </w:tc>
      </w:tr>
      <w:tr w:rsidR="00BC1765" w:rsidRPr="00BC1765" w:rsidTr="00C54816">
        <w:tc>
          <w:tcPr>
            <w:tcW w:w="347" w:type="pct"/>
            <w:tcBorders>
              <w:left w:val="single" w:sz="18" w:space="0" w:color="244061"/>
              <w:bottom w:val="single" w:sz="18" w:space="0" w:color="244061"/>
            </w:tcBorders>
            <w:shd w:val="clear" w:color="auto" w:fill="B8CCE4"/>
          </w:tcPr>
          <w:p w:rsidR="00BC1765" w:rsidRPr="00BC1765" w:rsidRDefault="00BC1765" w:rsidP="00BC1765">
            <w:pPr>
              <w:jc w:val="left"/>
              <w:rPr>
                <w:rFonts w:ascii="ＭＳ ゴシック" w:eastAsia="ＭＳ ゴシック" w:hAnsi="ＭＳ ゴシック"/>
                <w:b/>
                <w:color w:val="000000"/>
                <w:szCs w:val="21"/>
              </w:rPr>
            </w:pPr>
            <w:r w:rsidRPr="00BC1765">
              <w:rPr>
                <w:rFonts w:ascii="ＭＳ ゴシック" w:eastAsia="ＭＳ ゴシック" w:hAnsi="ＭＳ ゴシック" w:hint="eastAsia"/>
                <w:b/>
                <w:color w:val="000000"/>
                <w:szCs w:val="21"/>
              </w:rPr>
              <w:t>か行</w:t>
            </w:r>
          </w:p>
        </w:tc>
        <w:tc>
          <w:tcPr>
            <w:tcW w:w="4653" w:type="pct"/>
            <w:gridSpan w:val="3"/>
            <w:tcBorders>
              <w:left w:val="nil"/>
              <w:bottom w:val="single" w:sz="12" w:space="0" w:color="auto"/>
            </w:tcBorders>
            <w:shd w:val="clear" w:color="auto" w:fill="auto"/>
          </w:tcPr>
          <w:p w:rsidR="00BC1765" w:rsidRPr="00BC1765" w:rsidRDefault="00BC1765" w:rsidP="00BC1765">
            <w:pPr>
              <w:jc w:val="left"/>
              <w:rPr>
                <w:rFonts w:ascii="ＭＳ ゴシック" w:eastAsia="ＭＳ ゴシック" w:hAnsi="ＭＳ ゴシック" w:hint="eastAsia"/>
                <w:color w:val="000000"/>
                <w:szCs w:val="21"/>
              </w:rPr>
            </w:pPr>
          </w:p>
        </w:tc>
      </w:tr>
      <w:tr w:rsidR="00BC1765" w:rsidRPr="00BC1765" w:rsidTr="00C54816">
        <w:tc>
          <w:tcPr>
            <w:tcW w:w="985" w:type="pct"/>
            <w:gridSpan w:val="2"/>
            <w:tcBorders>
              <w:top w:val="single" w:sz="18" w:space="0" w:color="auto"/>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カームダウン／クールダウン</w:t>
            </w:r>
          </w:p>
        </w:tc>
        <w:tc>
          <w:tcPr>
            <w:tcW w:w="4015" w:type="pct"/>
            <w:gridSpan w:val="2"/>
            <w:tcBorders>
              <w:top w:val="single" w:sz="18" w:space="0" w:color="auto"/>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人混み、音や光など環境の状況によって不安や恐怖等を感じ、パニックを起こした時に、気持ちを落ち着かせること。</w:t>
            </w:r>
          </w:p>
        </w:tc>
      </w:tr>
      <w:tr w:rsidR="00BC1765" w:rsidRPr="00BC1765" w:rsidTr="00C54816">
        <w:tc>
          <w:tcPr>
            <w:tcW w:w="985" w:type="pct"/>
            <w:gridSpan w:val="2"/>
            <w:tcBorders>
              <w:top w:val="dotted" w:sz="4" w:space="0" w:color="auto"/>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c>
          <w:tcPr>
            <w:tcW w:w="4015" w:type="pct"/>
            <w:gridSpan w:val="2"/>
            <w:tcBorders>
              <w:top w:val="dotted" w:sz="4" w:space="0" w:color="auto"/>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r>
      <w:tr w:rsidR="00BC1765" w:rsidRPr="00BC1765" w:rsidTr="00C54816">
        <w:tc>
          <w:tcPr>
            <w:tcW w:w="985" w:type="pct"/>
            <w:gridSpan w:val="2"/>
            <w:tcBorders>
              <w:top w:val="dotted" w:sz="4" w:space="0" w:color="auto"/>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確認申請</w:t>
            </w:r>
          </w:p>
        </w:tc>
        <w:tc>
          <w:tcPr>
            <w:tcW w:w="4015" w:type="pct"/>
            <w:gridSpan w:val="2"/>
            <w:tcBorders>
              <w:top w:val="dotted" w:sz="4" w:space="0" w:color="auto"/>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建築物の新築、増築等を行う場合に、建築主が建築基準法の規定に基づいて建築主事に対して行う申請。建築物に関する建築基準法の基準は技術的であり専門的であるために、建築主は一定規模以上の建築物（工作物、建築設備についても準用されるものがある）を建築、大規模の修繕や模様替え、用途変更などをする場合に、工事着手前に建築主事の確認を受けなければならない。また建築主事は、この申請を受けてから</w:t>
            </w:r>
            <w:r w:rsidRPr="00BC1765">
              <w:rPr>
                <w:rFonts w:ascii="ＭＳ ゴシック" w:eastAsia="ＭＳ ゴシック" w:hAnsi="ＭＳ ゴシック" w:hint="eastAsia"/>
                <w:color w:val="000000"/>
                <w:sz w:val="20"/>
                <w:szCs w:val="21"/>
              </w:rPr>
              <w:lastRenderedPageBreak/>
              <w:t>同法第６条第１項一～三号による建築物は35日、同条第１項四号による建築物については７日以内に、その計画が建築関係法令に適合しているか否かを審査しなければならない。</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Cs w:val="21"/>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Cs w:val="21"/>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輝度</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FF0000"/>
                <w:sz w:val="20"/>
                <w:szCs w:val="21"/>
              </w:rPr>
            </w:pPr>
            <w:r w:rsidRPr="00BC1765">
              <w:rPr>
                <w:rFonts w:ascii="ＭＳ ゴシック" w:eastAsia="ＭＳ ゴシック" w:hAnsi="ＭＳ ゴシック" w:hint="eastAsia"/>
                <w:color w:val="000000"/>
                <w:sz w:val="20"/>
                <w:szCs w:val="21"/>
              </w:rPr>
              <w:t>ある方向から見た面の明るさの程度を示す測光量。すなわち、ある点から発せられている光源のまぶしさを示す光量を表す。単位はcd/㎡（カンデラ/平方メートル）</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r>
      <w:tr w:rsidR="00BC1765" w:rsidRPr="00BC1765" w:rsidTr="00C54816">
        <w:trPr>
          <w:trHeight w:val="510"/>
        </w:trPr>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輝度比</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視対象とその背景の輝度の比。一般的にコントラストと言う。</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くし板</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エスカレーターにおいて、床面から踏段へ、踏段から床面へ移る案内板。</w:t>
            </w:r>
            <w:r w:rsidRPr="00BC1765">
              <w:rPr>
                <w:rFonts w:ascii="ＭＳ ゴシック" w:eastAsia="ＭＳ ゴシック" w:hAnsi="ＭＳ ゴシック"/>
                <w:color w:val="000000"/>
                <w:sz w:val="20"/>
                <w:szCs w:val="21"/>
              </w:rPr>
              <w:br/>
            </w:r>
            <w:r w:rsidRPr="00BC1765">
              <w:rPr>
                <w:rFonts w:ascii="ＭＳ ゴシック" w:eastAsia="ＭＳ ゴシック" w:hAnsi="ＭＳ ゴシック" w:hint="eastAsia"/>
                <w:color w:val="000000"/>
                <w:sz w:val="20"/>
                <w:szCs w:val="21"/>
              </w:rPr>
              <w:t>滑り止めとして縞模様を浮かせた黄銅や鋳鉄、またはアルミ合金で作られる。</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車止め</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車の通行を禁ずること。車両が惰力その他の原因により逸走するのを防止するために設置する構造物。また、駐車場などで車の停止を助けるために設ける縁石コンクリートブロックなど。</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車寄せ</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strike/>
                <w:color w:val="000000"/>
                <w:sz w:val="20"/>
                <w:szCs w:val="21"/>
              </w:rPr>
            </w:pPr>
            <w:r w:rsidRPr="00BC1765">
              <w:rPr>
                <w:rFonts w:ascii="ＭＳ ゴシック" w:eastAsia="ＭＳ ゴシック" w:hAnsi="ＭＳ ゴシック" w:hint="eastAsia"/>
                <w:color w:val="000000"/>
                <w:sz w:val="20"/>
                <w:szCs w:val="21"/>
              </w:rPr>
              <w:t>自動車の乗り降りのために，玄関前に設けた屋根つきの部分。</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蹴上げ</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階段の１段の高さ。</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Cs w:val="21"/>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Cs w:val="21"/>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建築基準法</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建築物の敷地、構造、設備、用途に関する最低の基準を定めて、国民の生命、健康、財産の保護を図り、公共の福祉の増進に資することを目的とする法律。</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建築主事</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建築物、工作物および建築設備の計画の確認に関する事務をつかさどるために、</w:t>
            </w:r>
            <w:r w:rsidRPr="00BC1765">
              <w:rPr>
                <w:rFonts w:ascii="ＭＳ ゴシック" w:eastAsia="ＭＳ ゴシック" w:hAnsi="ＭＳ ゴシック"/>
                <w:color w:val="000000"/>
                <w:sz w:val="20"/>
                <w:szCs w:val="20"/>
              </w:rPr>
              <w:br/>
            </w:r>
            <w:r w:rsidRPr="00BC1765">
              <w:rPr>
                <w:rFonts w:ascii="ＭＳ ゴシック" w:eastAsia="ＭＳ ゴシック" w:hAnsi="ＭＳ ゴシック" w:hint="eastAsia"/>
                <w:color w:val="000000"/>
                <w:sz w:val="20"/>
                <w:szCs w:val="20"/>
              </w:rPr>
              <w:t>建設大臣が行う試験に合格した者のうちから、都道府県、特定の市町村および</w:t>
            </w:r>
            <w:r w:rsidRPr="00BC1765">
              <w:rPr>
                <w:rFonts w:ascii="ＭＳ ゴシック" w:eastAsia="ＭＳ ゴシック" w:hAnsi="ＭＳ ゴシック"/>
                <w:color w:val="000000"/>
                <w:sz w:val="20"/>
                <w:szCs w:val="20"/>
              </w:rPr>
              <w:br/>
            </w:r>
            <w:r w:rsidRPr="00BC1765">
              <w:rPr>
                <w:rFonts w:ascii="ＭＳ ゴシック" w:eastAsia="ＭＳ ゴシック" w:hAnsi="ＭＳ ゴシック" w:hint="eastAsia"/>
                <w:color w:val="000000"/>
                <w:sz w:val="20"/>
                <w:szCs w:val="20"/>
              </w:rPr>
              <w:t>特別区の長の任命を受けた者。</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color w:val="000000"/>
                <w:sz w:val="20"/>
                <w:szCs w:val="20"/>
              </w:rPr>
              <w:ruby>
                <w:rubyPr>
                  <w:rubyAlign w:val="distributeSpace"/>
                  <w:hps w:val="10"/>
                  <w:hpsRaise w:val="18"/>
                  <w:hpsBaseText w:val="20"/>
                  <w:lid w:val="ja-JP"/>
                </w:rubyPr>
                <w:rt>
                  <w:r w:rsidR="00BC1765" w:rsidRPr="00BC1765">
                    <w:rPr>
                      <w:rFonts w:ascii="ＭＳ ゴシック" w:eastAsia="ＭＳ ゴシック" w:hAnsi="ＭＳ ゴシック"/>
                      <w:color w:val="000000"/>
                      <w:sz w:val="20"/>
                      <w:szCs w:val="20"/>
                    </w:rPr>
                    <w:t>こう</w:t>
                  </w:r>
                </w:rt>
                <w:rubyBase>
                  <w:r w:rsidR="00BC1765" w:rsidRPr="00BC1765">
                    <w:rPr>
                      <w:rFonts w:ascii="ＭＳ ゴシック" w:eastAsia="ＭＳ ゴシック" w:hAnsi="ＭＳ ゴシック"/>
                      <w:color w:val="000000"/>
                      <w:sz w:val="20"/>
                      <w:szCs w:val="20"/>
                    </w:rPr>
                    <w:t>巧</w:t>
                  </w:r>
                </w:rubyBase>
              </w:ruby>
            </w:r>
            <w:r w:rsidRPr="00BC1765">
              <w:rPr>
                <w:rFonts w:ascii="ＭＳ ゴシック" w:eastAsia="ＭＳ ゴシック" w:hAnsi="ＭＳ ゴシック"/>
                <w:color w:val="000000"/>
                <w:sz w:val="20"/>
                <w:szCs w:val="20"/>
              </w:rPr>
              <w:ruby>
                <w:rubyPr>
                  <w:rubyAlign w:val="distributeSpace"/>
                  <w:hps w:val="10"/>
                  <w:hpsRaise w:val="18"/>
                  <w:hpsBaseText w:val="20"/>
                  <w:lid w:val="ja-JP"/>
                </w:rubyPr>
                <w:rt>
                  <w:r w:rsidR="00BC1765" w:rsidRPr="00BC1765">
                    <w:rPr>
                      <w:rFonts w:ascii="ＭＳ ゴシック" w:eastAsia="ＭＳ ゴシック" w:hAnsi="ＭＳ ゴシック"/>
                      <w:color w:val="000000"/>
                      <w:sz w:val="20"/>
                      <w:szCs w:val="20"/>
                    </w:rPr>
                    <w:t>ち</w:t>
                  </w:r>
                </w:rt>
                <w:rubyBase>
                  <w:r w:rsidR="00BC1765" w:rsidRPr="00BC1765">
                    <w:rPr>
                      <w:rFonts w:ascii="ＭＳ ゴシック" w:eastAsia="ＭＳ ゴシック" w:hAnsi="ＭＳ ゴシック"/>
                      <w:color w:val="000000"/>
                      <w:sz w:val="20"/>
                      <w:szCs w:val="20"/>
                    </w:rPr>
                    <w:t>緻</w:t>
                  </w:r>
                </w:rubyBase>
              </w:ruby>
            </w:r>
            <w:r w:rsidRPr="00BC1765">
              <w:rPr>
                <w:rFonts w:ascii="ＭＳ ゴシック" w:eastAsia="ＭＳ ゴシック" w:hAnsi="ＭＳ ゴシック"/>
                <w:color w:val="000000"/>
                <w:sz w:val="20"/>
                <w:szCs w:val="20"/>
              </w:rPr>
              <w:ruby>
                <w:rubyPr>
                  <w:rubyAlign w:val="distributeSpace"/>
                  <w:hps w:val="10"/>
                  <w:hpsRaise w:val="18"/>
                  <w:hpsBaseText w:val="20"/>
                  <w:lid w:val="ja-JP"/>
                </w:rubyPr>
                <w:rt>
                  <w:r w:rsidR="00BC1765" w:rsidRPr="00BC1765">
                    <w:rPr>
                      <w:rFonts w:ascii="ＭＳ ゴシック" w:eastAsia="ＭＳ ゴシック" w:hAnsi="ＭＳ ゴシック"/>
                      <w:color w:val="000000"/>
                      <w:sz w:val="20"/>
                      <w:szCs w:val="20"/>
                    </w:rPr>
                    <w:t>うん</w:t>
                  </w:r>
                </w:rt>
                <w:rubyBase>
                  <w:r w:rsidR="00BC1765" w:rsidRPr="00BC1765">
                    <w:rPr>
                      <w:rFonts w:ascii="ＭＳ ゴシック" w:eastAsia="ＭＳ ゴシック" w:hAnsi="ＭＳ ゴシック"/>
                      <w:color w:val="000000"/>
                      <w:sz w:val="20"/>
                      <w:szCs w:val="20"/>
                    </w:rPr>
                    <w:t>運</w:t>
                  </w:r>
                </w:rubyBase>
              </w:ruby>
            </w:r>
            <w:r w:rsidRPr="00BC1765">
              <w:rPr>
                <w:rFonts w:ascii="ＭＳ ゴシック" w:eastAsia="ＭＳ ゴシック" w:hAnsi="ＭＳ ゴシック"/>
                <w:color w:val="000000"/>
                <w:sz w:val="20"/>
                <w:szCs w:val="20"/>
              </w:rPr>
              <w:ruby>
                <w:rubyPr>
                  <w:rubyAlign w:val="distributeSpace"/>
                  <w:hps w:val="10"/>
                  <w:hpsRaise w:val="18"/>
                  <w:hpsBaseText w:val="20"/>
                  <w:lid w:val="ja-JP"/>
                </w:rubyPr>
                <w:rt>
                  <w:r w:rsidR="00BC1765" w:rsidRPr="00BC1765">
                    <w:rPr>
                      <w:rFonts w:ascii="ＭＳ ゴシック" w:eastAsia="ＭＳ ゴシック" w:hAnsi="ＭＳ ゴシック"/>
                      <w:color w:val="000000"/>
                      <w:sz w:val="20"/>
                      <w:szCs w:val="20"/>
                    </w:rPr>
                    <w:t>どう</w:t>
                  </w:r>
                </w:rt>
                <w:rubyBase>
                  <w:r w:rsidR="00BC1765" w:rsidRPr="00BC1765">
                    <w:rPr>
                      <w:rFonts w:ascii="ＭＳ ゴシック" w:eastAsia="ＭＳ ゴシック" w:hAnsi="ＭＳ ゴシック"/>
                      <w:color w:val="000000"/>
                      <w:sz w:val="20"/>
                      <w:szCs w:val="20"/>
                    </w:rPr>
                    <w:t>動</w:t>
                  </w:r>
                </w:rubyBase>
              </w:ruby>
            </w:r>
            <w:r w:rsidRPr="00BC1765">
              <w:rPr>
                <w:rFonts w:ascii="ＭＳ ゴシック" w:eastAsia="ＭＳ ゴシック" w:hAnsi="ＭＳ ゴシック"/>
                <w:color w:val="000000"/>
                <w:sz w:val="20"/>
                <w:szCs w:val="20"/>
              </w:rPr>
              <w:ruby>
                <w:rubyPr>
                  <w:rubyAlign w:val="distributeSpace"/>
                  <w:hps w:val="10"/>
                  <w:hpsRaise w:val="18"/>
                  <w:hpsBaseText w:val="20"/>
                  <w:lid w:val="ja-JP"/>
                </w:rubyPr>
                <w:rt>
                  <w:r w:rsidR="00BC1765" w:rsidRPr="00BC1765">
                    <w:rPr>
                      <w:rFonts w:ascii="ＭＳ ゴシック" w:eastAsia="ＭＳ ゴシック" w:hAnsi="ＭＳ ゴシック"/>
                      <w:color w:val="000000"/>
                      <w:sz w:val="20"/>
                      <w:szCs w:val="20"/>
                    </w:rPr>
                    <w:t>しょう</w:t>
                  </w:r>
                </w:rt>
                <w:rubyBase>
                  <w:r w:rsidR="00BC1765" w:rsidRPr="00BC1765">
                    <w:rPr>
                      <w:rFonts w:ascii="ＭＳ ゴシック" w:eastAsia="ＭＳ ゴシック" w:hAnsi="ＭＳ ゴシック"/>
                      <w:color w:val="000000"/>
                      <w:sz w:val="20"/>
                      <w:szCs w:val="20"/>
                    </w:rPr>
                    <w:t>障</w:t>
                  </w:r>
                </w:rubyBase>
              </w:ruby>
            </w:r>
            <w:r w:rsidRPr="00BC1765">
              <w:rPr>
                <w:rFonts w:ascii="ＭＳ ゴシック" w:eastAsia="ＭＳ ゴシック" w:hAnsi="ＭＳ ゴシック" w:hint="eastAsia"/>
                <w:color w:val="000000"/>
                <w:sz w:val="20"/>
                <w:szCs w:val="20"/>
              </w:rPr>
              <w:t>がい</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脊椎や脊髄の損傷等により、箸が使いにくい、ボタンが上手くかけられない、字が</w:t>
            </w:r>
            <w:r w:rsidRPr="00BC1765">
              <w:rPr>
                <w:rFonts w:ascii="ＭＳ ゴシック" w:eastAsia="ＭＳ ゴシック" w:hAnsi="ＭＳ ゴシック"/>
                <w:color w:val="000000"/>
                <w:sz w:val="20"/>
                <w:szCs w:val="20"/>
              </w:rPr>
              <w:br/>
            </w:r>
            <w:r w:rsidRPr="00BC1765">
              <w:rPr>
                <w:rFonts w:ascii="ＭＳ ゴシック" w:eastAsia="ＭＳ ゴシック" w:hAnsi="ＭＳ ゴシック" w:hint="eastAsia"/>
                <w:color w:val="000000"/>
                <w:sz w:val="20"/>
                <w:szCs w:val="20"/>
              </w:rPr>
              <w:t>乱れるといった症状がでる障がいのこと。</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Cs w:val="21"/>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Cs w:val="21"/>
              </w:rPr>
            </w:pPr>
          </w:p>
        </w:tc>
      </w:tr>
      <w:tr w:rsidR="00BC1765" w:rsidRPr="00BC1765" w:rsidTr="00C54816">
        <w:tc>
          <w:tcPr>
            <w:tcW w:w="347" w:type="pct"/>
            <w:tcBorders>
              <w:left w:val="single" w:sz="18" w:space="0" w:color="244061"/>
              <w:bottom w:val="single" w:sz="18" w:space="0" w:color="244061"/>
            </w:tcBorders>
            <w:shd w:val="clear" w:color="auto" w:fill="B8CCE4"/>
          </w:tcPr>
          <w:p w:rsidR="00BC1765" w:rsidRPr="00BC1765" w:rsidRDefault="00BC1765" w:rsidP="00BC1765">
            <w:pPr>
              <w:jc w:val="left"/>
              <w:rPr>
                <w:rFonts w:ascii="ＭＳ ゴシック" w:eastAsia="ＭＳ ゴシック" w:hAnsi="ＭＳ ゴシック"/>
                <w:color w:val="000000"/>
                <w:szCs w:val="21"/>
              </w:rPr>
            </w:pPr>
            <w:r w:rsidRPr="00BC1765">
              <w:rPr>
                <w:rFonts w:ascii="ＭＳ ゴシック" w:eastAsia="ＭＳ ゴシック" w:hAnsi="ＭＳ ゴシック" w:hint="eastAsia"/>
                <w:b/>
                <w:color w:val="000000"/>
                <w:szCs w:val="21"/>
              </w:rPr>
              <w:t>さ行</w:t>
            </w:r>
          </w:p>
        </w:tc>
        <w:tc>
          <w:tcPr>
            <w:tcW w:w="4653" w:type="pct"/>
            <w:gridSpan w:val="3"/>
            <w:tcBorders>
              <w:left w:val="nil"/>
              <w:bottom w:val="single" w:sz="18" w:space="0" w:color="244061"/>
            </w:tcBorders>
            <w:shd w:val="clear" w:color="auto" w:fill="auto"/>
          </w:tcPr>
          <w:p w:rsidR="00BC1765" w:rsidRPr="00BC1765" w:rsidRDefault="00BC1765" w:rsidP="00BC1765">
            <w:pPr>
              <w:jc w:val="left"/>
              <w:rPr>
                <w:rFonts w:ascii="ＭＳ ゴシック" w:eastAsia="ＭＳ ゴシック" w:hAnsi="ＭＳ ゴシック"/>
                <w:color w:val="000000"/>
                <w:szCs w:val="21"/>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災害対策基本法</w:t>
            </w:r>
          </w:p>
        </w:tc>
        <w:tc>
          <w:tcPr>
            <w:tcW w:w="4015" w:type="pct"/>
            <w:gridSpan w:val="2"/>
            <w:tcBorders>
              <w:top w:val="single" w:sz="18" w:space="0" w:color="244061"/>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国土ならびに国民の生命身体および財産を災害から保護するため、総合的、計画的な防災行政の整備および推進を図ることにより、社会の秩序の維持と公共の福祉の確保に資することを目的として制定された法律（昭和36年法律第223号）。</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彩度</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色彩の三属性の一。色の冴え、鮮やかさを表示する尺度。純色に近いほど高彩度で</w:t>
            </w:r>
            <w:r w:rsidRPr="00BC1765">
              <w:rPr>
                <w:rFonts w:ascii="ＭＳ ゴシック" w:eastAsia="ＭＳ ゴシック" w:hAnsi="ＭＳ ゴシック"/>
                <w:color w:val="000000"/>
                <w:sz w:val="20"/>
                <w:szCs w:val="20"/>
              </w:rPr>
              <w:br/>
            </w:r>
            <w:r w:rsidRPr="00BC1765">
              <w:rPr>
                <w:rFonts w:ascii="ＭＳ ゴシック" w:eastAsia="ＭＳ ゴシック" w:hAnsi="ＭＳ ゴシック" w:hint="eastAsia"/>
                <w:color w:val="000000"/>
                <w:sz w:val="20"/>
                <w:szCs w:val="20"/>
              </w:rPr>
              <w:t>あるといい、無彩色に近いほど低彩度であるという。</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サイトライン</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可視線。劇場等の客席・観覧席の各々の人が、前列の人の頭又は肩を越して視焦点</w:t>
            </w:r>
            <w:r w:rsidRPr="00BC1765">
              <w:rPr>
                <w:rFonts w:ascii="ＭＳ ゴシック" w:eastAsia="ＭＳ ゴシック" w:hAnsi="ＭＳ ゴシック"/>
                <w:color w:val="000000"/>
                <w:sz w:val="20"/>
                <w:szCs w:val="20"/>
              </w:rPr>
              <w:br/>
            </w:r>
            <w:r w:rsidRPr="00BC1765">
              <w:rPr>
                <w:rFonts w:ascii="ＭＳ ゴシック" w:eastAsia="ＭＳ ゴシック" w:hAnsi="ＭＳ ゴシック" w:hint="eastAsia"/>
                <w:color w:val="000000"/>
                <w:sz w:val="20"/>
                <w:szCs w:val="20"/>
              </w:rPr>
              <w:t>（舞台や競技場）を見ることのできる視野の限界線のこと。</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lastRenderedPageBreak/>
              <w:t>色相</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色彩の三属性の一。色の主波長に関係し、赤、橙、黄、黄緑、緑、青緑、青、青紫、紫、赤紫などのように色知覚の性質を特徴付ける色の属性、およびそれを表現する尺度。</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視認</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目で確認すること。</w:t>
            </w:r>
          </w:p>
          <w:p w:rsidR="00BC1765" w:rsidRPr="00BC1765" w:rsidRDefault="00BC1765" w:rsidP="00BC1765">
            <w:pPr>
              <w:tabs>
                <w:tab w:val="left" w:pos="3139"/>
              </w:tabs>
              <w:rPr>
                <w:rFonts w:ascii="ＭＳ ゴシック" w:eastAsia="ＭＳ ゴシック" w:hAnsi="ＭＳ ゴシック"/>
                <w:sz w:val="20"/>
                <w:szCs w:val="20"/>
              </w:rPr>
            </w:pPr>
            <w:r w:rsidRPr="00BC1765">
              <w:rPr>
                <w:rFonts w:ascii="ＭＳ ゴシック" w:eastAsia="ＭＳ ゴシック" w:hAnsi="ＭＳ ゴシック"/>
                <w:sz w:val="20"/>
                <w:szCs w:val="20"/>
              </w:rPr>
              <w:tab/>
            </w:r>
          </w:p>
        </w:tc>
      </w:tr>
      <w:tr w:rsidR="00BC1765" w:rsidRPr="00BC1765" w:rsidTr="00C54816">
        <w:trPr>
          <w:trHeight w:val="680"/>
        </w:trPr>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照度</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FF0000"/>
                <w:sz w:val="20"/>
                <w:szCs w:val="20"/>
              </w:rPr>
            </w:pPr>
            <w:r w:rsidRPr="00BC1765">
              <w:rPr>
                <w:rFonts w:ascii="ＭＳ ゴシック" w:eastAsia="ＭＳ ゴシック" w:hAnsi="ＭＳ ゴシック" w:hint="eastAsia"/>
                <w:color w:val="000000"/>
                <w:sz w:val="20"/>
                <w:szCs w:val="20"/>
              </w:rPr>
              <w:t>面の光を受ける程度を示す測光量。受照面の単位面積当りの入射光束をいう。</w:t>
            </w:r>
            <w:r w:rsidRPr="00BC1765">
              <w:rPr>
                <w:rFonts w:ascii="ＭＳ ゴシック" w:eastAsia="ＭＳ ゴシック" w:hAnsi="ＭＳ ゴシック"/>
                <w:color w:val="000000"/>
                <w:sz w:val="20"/>
                <w:szCs w:val="20"/>
              </w:rPr>
              <w:br/>
            </w:r>
            <w:r w:rsidRPr="00BC1765">
              <w:rPr>
                <w:rFonts w:ascii="ＭＳ ゴシック" w:eastAsia="ＭＳ ゴシック" w:hAnsi="ＭＳ ゴシック" w:hint="eastAsia"/>
                <w:color w:val="000000"/>
                <w:sz w:val="20"/>
                <w:szCs w:val="20"/>
              </w:rPr>
              <w:t>すなわち、ある光源によって照らされている面の明るさの度合い。単位はLx（ルクス）。</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障害者差別解消法</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国連の「障害者の権利に関する条約」の締結に向けた国内法制度の整備の一環として、全ての国民が、障害の有無によって分け隔てられることなく、相互に人格と個性を尊重し合いながら共生する社会の実現に向け、障害を理由とする差別の解消を推進することを目的として、平成25年6月に公布された法律。（平成28年4月施行）</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植樹枡</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主として街路樹（並木）を植栽するために、歩道、自転車道及び自転車歩行者道の</w:t>
            </w:r>
            <w:r w:rsidRPr="00BC1765">
              <w:rPr>
                <w:rFonts w:ascii="ＭＳ ゴシック" w:eastAsia="ＭＳ ゴシック" w:hAnsi="ＭＳ ゴシック"/>
                <w:color w:val="000000"/>
                <w:sz w:val="20"/>
                <w:szCs w:val="20"/>
              </w:rPr>
              <w:br/>
            </w:r>
            <w:r w:rsidRPr="00BC1765">
              <w:rPr>
                <w:rFonts w:ascii="ＭＳ ゴシック" w:eastAsia="ＭＳ ゴシック" w:hAnsi="ＭＳ ゴシック" w:hint="eastAsia"/>
                <w:color w:val="000000"/>
                <w:sz w:val="20"/>
                <w:szCs w:val="20"/>
              </w:rPr>
              <w:t>一部に縁石等で区画して設けられる植栽地をいう。</w:t>
            </w:r>
          </w:p>
        </w:tc>
      </w:tr>
      <w:tr w:rsidR="00BC1765" w:rsidRPr="00BC1765" w:rsidTr="00C54816">
        <w:trPr>
          <w:trHeight w:val="215"/>
        </w:trPr>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触知図案内板</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触知図とは「触って知る図」のことで、建築物に設けられている移動等円滑化（バリアフリー化）されたエレベーター等の昇降機、便所、駐車施設の配置を、視覚障がい者が触って概要を把握できるよう、施設平面図及び主な設備は浮き上がった線や点字で標示するもの。墨字など視覚情報も併せて標記することで、目の見える方への案内板と兼ねることができる。</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重点整備地区</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生活関連施設（旅客施設、官公庁施設、福祉施設等）が集積し、その間の移動が通常徒歩で行われる地区等、バリアフリー法第２条第１項第21号の要件に該当する地区。</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ストーマ装具</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ストーマから排泄される便や尿を受けとめるための装具のこと。</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スパイラルアップ</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具体的なバリアフリー施策などの内容について、高齢者、障がい者など当事者の参加の下で検証し、その結果に基づいて新たな施策や措置を講じることによって、段階的・継続的な発展を図っていくこと。</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袖壁</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建物から外部へ突き出して設けられる壁。</w:t>
            </w:r>
          </w:p>
        </w:tc>
      </w:tr>
      <w:tr w:rsidR="00BC1765" w:rsidRPr="00BC1765" w:rsidTr="00C54816">
        <w:tc>
          <w:tcPr>
            <w:tcW w:w="5000" w:type="pct"/>
            <w:gridSpan w:val="4"/>
            <w:shd w:val="clear" w:color="auto" w:fill="auto"/>
          </w:tcPr>
          <w:p w:rsidR="00BC1765" w:rsidRPr="00BC1765" w:rsidRDefault="00BC1765" w:rsidP="00BC1765">
            <w:pPr>
              <w:jc w:val="left"/>
              <w:rPr>
                <w:rFonts w:ascii="ＭＳ ゴシック" w:eastAsia="ＭＳ ゴシック" w:hAnsi="ＭＳ ゴシック"/>
                <w:color w:val="000000"/>
                <w:szCs w:val="21"/>
              </w:rPr>
            </w:pPr>
          </w:p>
          <w:p w:rsidR="00BC1765" w:rsidRPr="00BC1765" w:rsidRDefault="00BC1765" w:rsidP="00BC1765">
            <w:pPr>
              <w:jc w:val="left"/>
              <w:rPr>
                <w:rFonts w:ascii="ＭＳ ゴシック" w:eastAsia="ＭＳ ゴシック" w:hAnsi="ＭＳ ゴシック"/>
                <w:color w:val="000000"/>
                <w:szCs w:val="21"/>
              </w:rPr>
            </w:pPr>
          </w:p>
        </w:tc>
      </w:tr>
      <w:tr w:rsidR="00BC1765" w:rsidRPr="00BC1765" w:rsidTr="00C54816">
        <w:tc>
          <w:tcPr>
            <w:tcW w:w="347" w:type="pct"/>
            <w:tcBorders>
              <w:left w:val="single" w:sz="18" w:space="0" w:color="244061"/>
              <w:bottom w:val="single" w:sz="18" w:space="0" w:color="244061"/>
            </w:tcBorders>
            <w:shd w:val="clear" w:color="auto" w:fill="B8CCE4"/>
          </w:tcPr>
          <w:p w:rsidR="00BC1765" w:rsidRPr="00BC1765" w:rsidRDefault="00BC1765" w:rsidP="00BC1765">
            <w:pPr>
              <w:jc w:val="left"/>
              <w:rPr>
                <w:rFonts w:ascii="ＭＳ ゴシック" w:eastAsia="ＭＳ ゴシック" w:hAnsi="ＭＳ ゴシック"/>
                <w:b/>
                <w:color w:val="000000"/>
                <w:szCs w:val="21"/>
              </w:rPr>
            </w:pPr>
            <w:r w:rsidRPr="00BC1765">
              <w:rPr>
                <w:rFonts w:ascii="ＭＳ ゴシック" w:eastAsia="ＭＳ ゴシック" w:hAnsi="ＭＳ ゴシック" w:hint="eastAsia"/>
                <w:b/>
                <w:color w:val="000000"/>
                <w:szCs w:val="21"/>
              </w:rPr>
              <w:t>た行</w:t>
            </w:r>
          </w:p>
        </w:tc>
        <w:tc>
          <w:tcPr>
            <w:tcW w:w="732" w:type="pct"/>
            <w:gridSpan w:val="2"/>
            <w:tcBorders>
              <w:left w:val="nil"/>
              <w:bottom w:val="single" w:sz="18" w:space="0" w:color="244061"/>
            </w:tcBorders>
            <w:shd w:val="clear" w:color="auto" w:fill="auto"/>
          </w:tcPr>
          <w:p w:rsidR="00BC1765" w:rsidRPr="00BC1765" w:rsidRDefault="00BC1765" w:rsidP="00BC1765">
            <w:pPr>
              <w:jc w:val="left"/>
              <w:rPr>
                <w:rFonts w:ascii="ＭＳ ゴシック" w:eastAsia="ＭＳ ゴシック" w:hAnsi="ＭＳ ゴシック"/>
                <w:color w:val="000000"/>
                <w:szCs w:val="21"/>
              </w:rPr>
            </w:pPr>
          </w:p>
        </w:tc>
        <w:tc>
          <w:tcPr>
            <w:tcW w:w="3921" w:type="pct"/>
            <w:tcBorders>
              <w:left w:val="nil"/>
              <w:bottom w:val="single" w:sz="18" w:space="0" w:color="244061"/>
            </w:tcBorders>
            <w:shd w:val="clear" w:color="auto" w:fill="auto"/>
          </w:tcPr>
          <w:p w:rsidR="00BC1765" w:rsidRPr="00BC1765" w:rsidRDefault="00BC1765" w:rsidP="00BC1765">
            <w:pPr>
              <w:jc w:val="left"/>
              <w:rPr>
                <w:rFonts w:ascii="ＭＳ ゴシック" w:eastAsia="ＭＳ ゴシック" w:hAnsi="ＭＳ ゴシック"/>
                <w:color w:val="000000"/>
                <w:szCs w:val="21"/>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手すり子</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手すりを支持する束材。竪子。</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lastRenderedPageBreak/>
              <w:t>段鼻（だんばな）</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階段の段の先端。</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ドアクローザー</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開かれた扉を自動的に速度を調節して静かに戻し閉める装置。一般には扉の上方で</w:t>
            </w:r>
            <w:r w:rsidRPr="00BC1765">
              <w:rPr>
                <w:rFonts w:ascii="ＭＳ ゴシック" w:eastAsia="ＭＳ ゴシック" w:hAnsi="ＭＳ ゴシック"/>
                <w:color w:val="000000"/>
                <w:sz w:val="20"/>
                <w:szCs w:val="21"/>
              </w:rPr>
              <w:br/>
            </w:r>
            <w:r w:rsidRPr="00BC1765">
              <w:rPr>
                <w:rFonts w:ascii="ＭＳ ゴシック" w:eastAsia="ＭＳ ゴシック" w:hAnsi="ＭＳ ゴシック" w:hint="eastAsia"/>
                <w:color w:val="000000"/>
                <w:sz w:val="20"/>
                <w:szCs w:val="21"/>
              </w:rPr>
              <w:t>框とに取り付ける。</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r>
      <w:tr w:rsidR="00BC1765" w:rsidRPr="00BC1765" w:rsidTr="00C54816">
        <w:trPr>
          <w:trHeight w:val="510"/>
        </w:trPr>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特定建築物</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多数の者が利用する、バリアフリー法政令第４条で指定する建築物又はその部分。</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特定行政庁</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建築基準法に基づき、違反建築物に対する是正命令、不適格建築物に対する是正命令、用途地域内の建築制限に関する許可等を行う権限を有する機関。建築主事を置く市町村の区域については当該市町村の長をいい、その他の市町村の区域については都道府県知事をいう。</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特定道路</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移動等円滑化が特に必要なものとしてバリアフリー法政令第２条で定める道路法に</w:t>
            </w:r>
            <w:r w:rsidRPr="00BC1765">
              <w:rPr>
                <w:rFonts w:ascii="ＭＳ ゴシック" w:eastAsia="ＭＳ ゴシック" w:hAnsi="ＭＳ ゴシック"/>
                <w:color w:val="000000"/>
                <w:sz w:val="20"/>
                <w:szCs w:val="21"/>
              </w:rPr>
              <w:br/>
            </w:r>
            <w:r w:rsidRPr="00BC1765">
              <w:rPr>
                <w:rFonts w:ascii="ＭＳ ゴシック" w:eastAsia="ＭＳ ゴシック" w:hAnsi="ＭＳ ゴシック" w:hint="eastAsia"/>
                <w:color w:val="000000"/>
                <w:sz w:val="20"/>
                <w:szCs w:val="21"/>
              </w:rPr>
              <w:t>よる道路をいう。</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特別特定建築物</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不特定かつ多数の者が利用し、又は主として高齢者、障害者等が利用するもののうち、バリアフリー法政令第５条で指定するもの。</w:t>
            </w:r>
          </w:p>
        </w:tc>
      </w:tr>
      <w:tr w:rsidR="00BC1765" w:rsidRPr="00BC1765" w:rsidTr="00C54816">
        <w:tc>
          <w:tcPr>
            <w:tcW w:w="5000" w:type="pct"/>
            <w:gridSpan w:val="4"/>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r>
      <w:tr w:rsidR="00BC1765" w:rsidRPr="00BC1765" w:rsidTr="00C54816">
        <w:tc>
          <w:tcPr>
            <w:tcW w:w="347" w:type="pct"/>
            <w:tcBorders>
              <w:left w:val="single" w:sz="18" w:space="0" w:color="244061"/>
              <w:bottom w:val="single" w:sz="18" w:space="0" w:color="244061"/>
            </w:tcBorders>
            <w:shd w:val="clear" w:color="auto" w:fill="B8CCE4"/>
          </w:tcPr>
          <w:p w:rsidR="00BC1765" w:rsidRPr="00BC1765" w:rsidRDefault="00BC1765" w:rsidP="00BC1765">
            <w:pPr>
              <w:jc w:val="left"/>
              <w:rPr>
                <w:rFonts w:ascii="ＭＳ ゴシック" w:eastAsia="ＭＳ ゴシック" w:hAnsi="ＭＳ ゴシック"/>
                <w:color w:val="000000"/>
                <w:szCs w:val="21"/>
              </w:rPr>
            </w:pPr>
            <w:r w:rsidRPr="00BC1765">
              <w:rPr>
                <w:rFonts w:ascii="ＭＳ ゴシック" w:eastAsia="ＭＳ ゴシック" w:hAnsi="ＭＳ ゴシック" w:hint="eastAsia"/>
                <w:b/>
                <w:color w:val="000000"/>
                <w:szCs w:val="21"/>
              </w:rPr>
              <w:t>は行</w:t>
            </w:r>
          </w:p>
        </w:tc>
        <w:tc>
          <w:tcPr>
            <w:tcW w:w="4653" w:type="pct"/>
            <w:gridSpan w:val="3"/>
            <w:tcBorders>
              <w:left w:val="nil"/>
              <w:bottom w:val="single" w:sz="18" w:space="0" w:color="244061"/>
            </w:tcBorders>
            <w:shd w:val="clear" w:color="auto" w:fill="auto"/>
          </w:tcPr>
          <w:p w:rsidR="00BC1765" w:rsidRPr="00BC1765" w:rsidRDefault="00BC1765" w:rsidP="00BC1765">
            <w:pPr>
              <w:jc w:val="left"/>
              <w:rPr>
                <w:rFonts w:ascii="ＭＳ ゴシック" w:eastAsia="ＭＳ ゴシック" w:hAnsi="ＭＳ ゴシック"/>
                <w:color w:val="000000"/>
                <w:szCs w:val="21"/>
              </w:rPr>
            </w:pPr>
          </w:p>
        </w:tc>
      </w:tr>
      <w:tr w:rsidR="00BC1765" w:rsidRPr="00BC1765" w:rsidTr="00C54816">
        <w:trPr>
          <w:trHeight w:val="50"/>
        </w:trPr>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パウチ</w:t>
            </w:r>
          </w:p>
        </w:tc>
        <w:tc>
          <w:tcPr>
            <w:tcW w:w="401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ストーマ袋。ストーマに着けて便や尿を受けて収集する袋。多くは防臭性のある積層プラスチックフィルム製の使い捨ての製品。</w:t>
            </w:r>
          </w:p>
        </w:tc>
      </w:tr>
      <w:tr w:rsidR="00BC1765" w:rsidRPr="00BC1765" w:rsidTr="00C54816">
        <w:trPr>
          <w:trHeight w:val="50"/>
        </w:trPr>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rPr>
          <w:trHeight w:val="50"/>
        </w:trPr>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バリアフリー法</w:t>
            </w:r>
          </w:p>
        </w:tc>
        <w:tc>
          <w:tcPr>
            <w:tcW w:w="401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高齢者、障害者等の移動等の円滑化の促進に関する法律（平成18年施行）。従来の</w:t>
            </w:r>
            <w:r w:rsidRPr="00BC1765">
              <w:rPr>
                <w:rFonts w:ascii="ＭＳ ゴシック" w:eastAsia="ＭＳ ゴシック" w:hAnsi="ＭＳ ゴシック"/>
                <w:color w:val="000000"/>
                <w:sz w:val="20"/>
                <w:szCs w:val="20"/>
              </w:rPr>
              <w:br/>
            </w:r>
            <w:r w:rsidRPr="00BC1765">
              <w:rPr>
                <w:rFonts w:ascii="ＭＳ ゴシック" w:eastAsia="ＭＳ ゴシック" w:hAnsi="ＭＳ ゴシック" w:hint="eastAsia"/>
                <w:color w:val="000000"/>
                <w:sz w:val="20"/>
                <w:szCs w:val="20"/>
              </w:rPr>
              <w:t>「交通バリアフリー法」と「ハートビル法」の2つの法律を統合、拡充して制定された。公共交通機関や道路、建築物等の整備や、一定の地区におけるこれらの間の経路の一体的な整備を推進し、公共の福祉の増進に資することを目的とする。平成18年施行。</w:t>
            </w:r>
          </w:p>
        </w:tc>
      </w:tr>
      <w:tr w:rsidR="00BC1765" w:rsidRPr="00BC1765" w:rsidTr="00C54816">
        <w:trPr>
          <w:trHeight w:val="50"/>
        </w:trPr>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rPr>
          <w:trHeight w:val="50"/>
        </w:trPr>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バリアフリートイレ</w:t>
            </w:r>
          </w:p>
        </w:tc>
        <w:tc>
          <w:tcPr>
            <w:tcW w:w="401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高齢者、障がい者等が利用する個別機能を備えた便房等の適正利用を推進するための各種便房の総称。</w:t>
            </w:r>
          </w:p>
        </w:tc>
      </w:tr>
      <w:tr w:rsidR="00BC1765" w:rsidRPr="00BC1765" w:rsidTr="00C54816">
        <w:trPr>
          <w:gridBefore w:val="2"/>
          <w:wBefore w:w="985" w:type="pct"/>
        </w:trPr>
        <w:tc>
          <w:tcPr>
            <w:tcW w:w="4015" w:type="pct"/>
            <w:gridSpan w:val="2"/>
            <w:tcBorders>
              <w:left w:val="nil"/>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tcBorders>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反射グレア</w:t>
            </w:r>
          </w:p>
        </w:tc>
        <w:tc>
          <w:tcPr>
            <w:tcW w:w="4015" w:type="pct"/>
            <w:gridSpan w:val="2"/>
            <w:tcBorders>
              <w:left w:val="nil"/>
              <w:bottom w:val="nil"/>
            </w:tcBorders>
            <w:shd w:val="clear" w:color="auto" w:fill="auto"/>
          </w:tcPr>
          <w:p w:rsidR="00BC1765" w:rsidRPr="00BC1765" w:rsidRDefault="00BC1765" w:rsidP="00BC1765">
            <w:pPr>
              <w:jc w:val="left"/>
              <w:rPr>
                <w:rFonts w:ascii="ＭＳ ゴシック" w:eastAsia="ＭＳ ゴシック" w:hAnsi="ＭＳ ゴシック"/>
                <w:color w:val="FF0000"/>
                <w:sz w:val="20"/>
                <w:szCs w:val="20"/>
              </w:rPr>
            </w:pPr>
            <w:r w:rsidRPr="00BC1765">
              <w:rPr>
                <w:rFonts w:ascii="ＭＳ ゴシック" w:eastAsia="ＭＳ ゴシック" w:hAnsi="ＭＳ ゴシック" w:hint="eastAsia"/>
                <w:color w:val="000000"/>
                <w:sz w:val="20"/>
                <w:szCs w:val="20"/>
              </w:rPr>
              <w:t>視対象表面に光源が映って見やすさが損なわれる現象。黒板、アート紙の表面、油絵、ガラス入り画面など光沢ある対象に生ずる。すなわち、光源からの強い光が机や紙に反射したものを受けることによって生じるまぶしさ。</w:t>
            </w:r>
          </w:p>
        </w:tc>
      </w:tr>
      <w:tr w:rsidR="00BC1765" w:rsidRPr="00BC1765" w:rsidTr="00C54816">
        <w:trPr>
          <w:gridBefore w:val="2"/>
          <w:wBefore w:w="985" w:type="pct"/>
        </w:trPr>
        <w:tc>
          <w:tcPr>
            <w:tcW w:w="4015" w:type="pct"/>
            <w:gridSpan w:val="2"/>
            <w:tcBorders>
              <w:left w:val="nil"/>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tcBorders>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ピクトグラム</w:t>
            </w:r>
          </w:p>
        </w:tc>
        <w:tc>
          <w:tcPr>
            <w:tcW w:w="4015" w:type="pct"/>
            <w:gridSpan w:val="2"/>
            <w:tcBorders>
              <w:left w:val="nil"/>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案内用図記号。一般の施設、すなわち空港、駅など交通機関から、観光、文化、スポーツなどの施設で主に案内として用いられる視覚情報提供手段の１つ。</w:t>
            </w:r>
          </w:p>
        </w:tc>
      </w:tr>
      <w:tr w:rsidR="00BC1765" w:rsidRPr="00BC1765" w:rsidTr="00C54816">
        <w:tc>
          <w:tcPr>
            <w:tcW w:w="985" w:type="pct"/>
            <w:gridSpan w:val="2"/>
            <w:tcBorders>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tcBorders>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風除室</w:t>
            </w:r>
          </w:p>
        </w:tc>
        <w:tc>
          <w:tcPr>
            <w:tcW w:w="4015" w:type="pct"/>
            <w:gridSpan w:val="2"/>
            <w:tcBorders>
              <w:left w:val="nil"/>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外気の進入を緩和するため、建物の玄関と室内の入口の間に設ける空間。</w:t>
            </w:r>
          </w:p>
        </w:tc>
      </w:tr>
      <w:tr w:rsidR="00BC1765" w:rsidRPr="00BC1765" w:rsidTr="00C54816">
        <w:trPr>
          <w:gridBefore w:val="2"/>
          <w:wBefore w:w="985" w:type="pct"/>
        </w:trPr>
        <w:tc>
          <w:tcPr>
            <w:tcW w:w="4015" w:type="pct"/>
            <w:gridSpan w:val="2"/>
            <w:tcBorders>
              <w:left w:val="nil"/>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tcBorders>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color w:val="000000"/>
                <w:sz w:val="20"/>
                <w:szCs w:val="20"/>
              </w:rPr>
              <w:ruby>
                <w:rubyPr>
                  <w:rubyAlign w:val="distributeSpace"/>
                  <w:hps w:val="10"/>
                  <w:hpsRaise w:val="18"/>
                  <w:hpsBaseText w:val="20"/>
                  <w:lid w:val="ja-JP"/>
                </w:rubyPr>
                <w:rt>
                  <w:r w:rsidR="00BC1765" w:rsidRPr="00BC1765">
                    <w:rPr>
                      <w:rFonts w:ascii="ＭＳ ゴシック" w:eastAsia="ＭＳ ゴシック" w:hAnsi="ＭＳ ゴシック"/>
                      <w:color w:val="000000"/>
                      <w:sz w:val="20"/>
                      <w:szCs w:val="20"/>
                    </w:rPr>
                    <w:t>ふ</w:t>
                  </w:r>
                </w:rt>
                <w:rubyBase>
                  <w:r w:rsidR="00BC1765" w:rsidRPr="00BC1765">
                    <w:rPr>
                      <w:rFonts w:ascii="ＭＳ ゴシック" w:eastAsia="ＭＳ ゴシック" w:hAnsi="ＭＳ ゴシック"/>
                      <w:color w:val="000000"/>
                      <w:sz w:val="20"/>
                      <w:szCs w:val="20"/>
                    </w:rPr>
                    <w:t>踏</w:t>
                  </w:r>
                </w:rubyBase>
              </w:ruby>
            </w:r>
            <w:r w:rsidRPr="00BC1765">
              <w:rPr>
                <w:rFonts w:ascii="ＭＳ ゴシック" w:eastAsia="ＭＳ ゴシック" w:hAnsi="ＭＳ ゴシック"/>
                <w:color w:val="000000"/>
                <w:sz w:val="20"/>
                <w:szCs w:val="20"/>
              </w:rPr>
              <w:t>み</w:t>
            </w:r>
            <w:r w:rsidRPr="00BC1765">
              <w:rPr>
                <w:rFonts w:ascii="ＭＳ ゴシック" w:eastAsia="ＭＳ ゴシック" w:hAnsi="ＭＳ ゴシック"/>
                <w:color w:val="000000"/>
                <w:sz w:val="20"/>
                <w:szCs w:val="20"/>
              </w:rPr>
              <w:ruby>
                <w:rubyPr>
                  <w:rubyAlign w:val="distributeSpace"/>
                  <w:hps w:val="10"/>
                  <w:hpsRaise w:val="18"/>
                  <w:hpsBaseText w:val="20"/>
                  <w:lid w:val="ja-JP"/>
                </w:rubyPr>
                <w:rt>
                  <w:r w:rsidR="00BC1765" w:rsidRPr="00BC1765">
                    <w:rPr>
                      <w:rFonts w:ascii="ＭＳ ゴシック" w:eastAsia="ＭＳ ゴシック" w:hAnsi="ＭＳ ゴシック"/>
                      <w:color w:val="000000"/>
                      <w:sz w:val="20"/>
                      <w:szCs w:val="20"/>
                    </w:rPr>
                    <w:t>づら</w:t>
                  </w:r>
                </w:rt>
                <w:rubyBase>
                  <w:r w:rsidR="00BC1765" w:rsidRPr="00BC1765">
                    <w:rPr>
                      <w:rFonts w:ascii="ＭＳ ゴシック" w:eastAsia="ＭＳ ゴシック" w:hAnsi="ＭＳ ゴシック"/>
                      <w:color w:val="000000"/>
                      <w:sz w:val="20"/>
                      <w:szCs w:val="20"/>
                    </w:rPr>
                    <w:t>面</w:t>
                  </w:r>
                </w:rubyBase>
              </w:ruby>
            </w:r>
          </w:p>
        </w:tc>
        <w:tc>
          <w:tcPr>
            <w:tcW w:w="4015" w:type="pct"/>
            <w:gridSpan w:val="2"/>
            <w:tcBorders>
              <w:left w:val="nil"/>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階段において足を載せる段の上面。</w:t>
            </w:r>
          </w:p>
        </w:tc>
      </w:tr>
      <w:tr w:rsidR="00BC1765" w:rsidRPr="00BC1765" w:rsidTr="00C54816">
        <w:trPr>
          <w:gridBefore w:val="2"/>
          <w:wBefore w:w="985" w:type="pct"/>
        </w:trPr>
        <w:tc>
          <w:tcPr>
            <w:tcW w:w="4015" w:type="pct"/>
            <w:gridSpan w:val="2"/>
            <w:tcBorders>
              <w:left w:val="nil"/>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tcBorders>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ベビーチェア</w:t>
            </w:r>
          </w:p>
        </w:tc>
        <w:tc>
          <w:tcPr>
            <w:tcW w:w="4015" w:type="pct"/>
            <w:gridSpan w:val="2"/>
            <w:tcBorders>
              <w:left w:val="nil"/>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親等が便所を利用する際に、一時的に乳幼児を座らせる設備。</w:t>
            </w:r>
          </w:p>
        </w:tc>
      </w:tr>
      <w:tr w:rsidR="00BC1765" w:rsidRPr="00BC1765" w:rsidTr="00C54816">
        <w:tc>
          <w:tcPr>
            <w:tcW w:w="985" w:type="pct"/>
            <w:gridSpan w:val="2"/>
            <w:tcBorders>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tcBorders>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ベビーベッド</w:t>
            </w:r>
          </w:p>
        </w:tc>
        <w:tc>
          <w:tcPr>
            <w:tcW w:w="4015" w:type="pct"/>
            <w:gridSpan w:val="2"/>
            <w:tcBorders>
              <w:left w:val="nil"/>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乳幼児などのための寝台。</w:t>
            </w:r>
          </w:p>
        </w:tc>
      </w:tr>
      <w:tr w:rsidR="00BC1765" w:rsidRPr="00BC1765" w:rsidTr="00C54816">
        <w:tc>
          <w:tcPr>
            <w:tcW w:w="985" w:type="pct"/>
            <w:gridSpan w:val="2"/>
            <w:tcBorders>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tcBorders>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便房</w:t>
            </w:r>
          </w:p>
        </w:tc>
        <w:tc>
          <w:tcPr>
            <w:tcW w:w="4015" w:type="pct"/>
            <w:gridSpan w:val="2"/>
            <w:tcBorders>
              <w:left w:val="nil"/>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便所内における個室。便器を囲った空間。</w:t>
            </w:r>
          </w:p>
        </w:tc>
      </w:tr>
      <w:tr w:rsidR="00BC1765" w:rsidRPr="00BC1765" w:rsidTr="00C54816">
        <w:trPr>
          <w:gridBefore w:val="2"/>
          <w:wBefore w:w="985" w:type="pct"/>
        </w:trPr>
        <w:tc>
          <w:tcPr>
            <w:tcW w:w="4015" w:type="pct"/>
            <w:gridSpan w:val="2"/>
            <w:tcBorders>
              <w:left w:val="nil"/>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防火区画</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火災時に延焼の拡大を防ぎ、火災を局部的なものに抑えると共に、避難を容易にするため一定面積以内ごと、竪穴区画または用途に応じてする防火的な区画。</w:t>
            </w: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985" w:type="pct"/>
            <w:gridSpan w:val="2"/>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ホワイエ</w:t>
            </w:r>
          </w:p>
        </w:tc>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r w:rsidRPr="00BC1765">
              <w:rPr>
                <w:rFonts w:ascii="ＭＳ ゴシック" w:eastAsia="ＭＳ ゴシック" w:hAnsi="ＭＳ ゴシック" w:hint="eastAsia"/>
                <w:color w:val="000000"/>
                <w:sz w:val="20"/>
                <w:szCs w:val="20"/>
              </w:rPr>
              <w:t>入口から集会室・会議室・ホールなどの間にある広い通路空間で休憩や歓談に使われる部分。</w:t>
            </w:r>
          </w:p>
        </w:tc>
      </w:tr>
      <w:tr w:rsidR="00BC1765" w:rsidRPr="00BC1765" w:rsidTr="00C54816">
        <w:trPr>
          <w:gridBefore w:val="2"/>
          <w:wBefore w:w="985" w:type="pct"/>
        </w:trPr>
        <w:tc>
          <w:tcPr>
            <w:tcW w:w="4015" w:type="pct"/>
            <w:gridSpan w:val="2"/>
            <w:tcBorders>
              <w:left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0"/>
              </w:rPr>
            </w:pPr>
          </w:p>
        </w:tc>
      </w:tr>
      <w:tr w:rsidR="00BC1765" w:rsidRPr="00BC1765" w:rsidTr="00C54816">
        <w:tc>
          <w:tcPr>
            <w:tcW w:w="347" w:type="pct"/>
            <w:tcBorders>
              <w:left w:val="single" w:sz="18" w:space="0" w:color="244061"/>
              <w:bottom w:val="single" w:sz="18" w:space="0" w:color="244061"/>
            </w:tcBorders>
            <w:shd w:val="clear" w:color="auto" w:fill="B8CCE4"/>
          </w:tcPr>
          <w:p w:rsidR="00BC1765" w:rsidRPr="00BC1765" w:rsidRDefault="00BC1765" w:rsidP="00BC1765">
            <w:pPr>
              <w:jc w:val="left"/>
              <w:rPr>
                <w:rFonts w:ascii="ＭＳ ゴシック" w:eastAsia="ＭＳ ゴシック" w:hAnsi="ＭＳ ゴシック"/>
                <w:b/>
                <w:color w:val="000000"/>
                <w:szCs w:val="21"/>
              </w:rPr>
            </w:pPr>
            <w:r w:rsidRPr="00BC1765">
              <w:rPr>
                <w:rFonts w:ascii="ＭＳ ゴシック" w:eastAsia="ＭＳ ゴシック" w:hAnsi="ＭＳ ゴシック" w:hint="eastAsia"/>
                <w:b/>
                <w:color w:val="000000"/>
                <w:szCs w:val="21"/>
              </w:rPr>
              <w:t>ま行</w:t>
            </w:r>
          </w:p>
        </w:tc>
        <w:tc>
          <w:tcPr>
            <w:tcW w:w="638" w:type="pct"/>
            <w:tcBorders>
              <w:left w:val="nil"/>
              <w:bottom w:val="single" w:sz="18" w:space="0" w:color="244061"/>
            </w:tcBorders>
            <w:shd w:val="clear" w:color="auto" w:fill="auto"/>
          </w:tcPr>
          <w:p w:rsidR="00BC1765" w:rsidRPr="00BC1765" w:rsidRDefault="00BC1765" w:rsidP="00BC1765">
            <w:pPr>
              <w:jc w:val="left"/>
              <w:rPr>
                <w:rFonts w:ascii="ＭＳ ゴシック" w:eastAsia="ＭＳ ゴシック" w:hAnsi="ＭＳ ゴシック"/>
                <w:color w:val="000000"/>
                <w:szCs w:val="21"/>
              </w:rPr>
            </w:pPr>
          </w:p>
        </w:tc>
        <w:tc>
          <w:tcPr>
            <w:tcW w:w="4015" w:type="pct"/>
            <w:gridSpan w:val="2"/>
            <w:tcBorders>
              <w:left w:val="nil"/>
              <w:bottom w:val="single" w:sz="18" w:space="0" w:color="244061"/>
            </w:tcBorders>
            <w:shd w:val="clear" w:color="auto" w:fill="auto"/>
          </w:tcPr>
          <w:p w:rsidR="00BC1765" w:rsidRPr="00BC1765" w:rsidRDefault="00BC1765" w:rsidP="00BC1765">
            <w:pPr>
              <w:jc w:val="left"/>
              <w:rPr>
                <w:rFonts w:ascii="ＭＳ ゴシック" w:eastAsia="ＭＳ ゴシック" w:hAnsi="ＭＳ ゴシック"/>
                <w:color w:val="000000"/>
                <w:szCs w:val="21"/>
              </w:rPr>
            </w:pPr>
          </w:p>
        </w:tc>
      </w:tr>
      <w:tr w:rsidR="00BC1765" w:rsidRPr="00BC1765" w:rsidTr="00C54816">
        <w:tc>
          <w:tcPr>
            <w:tcW w:w="985" w:type="pct"/>
            <w:gridSpan w:val="2"/>
            <w:tcBorders>
              <w:top w:val="single" w:sz="8" w:space="0" w:color="auto"/>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明度</w:t>
            </w:r>
          </w:p>
        </w:tc>
        <w:tc>
          <w:tcPr>
            <w:tcW w:w="4015" w:type="pct"/>
            <w:gridSpan w:val="2"/>
            <w:tcBorders>
              <w:top w:val="single" w:sz="18" w:space="0" w:color="244061"/>
              <w:left w:val="nil"/>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色彩の三属性の一。物体の表面色の相対的な明暗に関する色の属性。視感反射率と</w:t>
            </w:r>
            <w:r w:rsidRPr="00BC1765">
              <w:rPr>
                <w:rFonts w:ascii="ＭＳ ゴシック" w:eastAsia="ＭＳ ゴシック" w:hAnsi="ＭＳ ゴシック"/>
                <w:color w:val="000000"/>
                <w:sz w:val="20"/>
                <w:szCs w:val="21"/>
              </w:rPr>
              <w:br/>
            </w:r>
            <w:r w:rsidRPr="00BC1765">
              <w:rPr>
                <w:rFonts w:ascii="ＭＳ ゴシック" w:eastAsia="ＭＳ ゴシック" w:hAnsi="ＭＳ ゴシック" w:hint="eastAsia"/>
                <w:color w:val="000000"/>
                <w:sz w:val="20"/>
                <w:szCs w:val="21"/>
              </w:rPr>
              <w:t>対応する。明るさは明暗に関する視覚的な属性をいい、明度は同一条件で照明した</w:t>
            </w:r>
            <w:r w:rsidRPr="00BC1765">
              <w:rPr>
                <w:rFonts w:ascii="ＭＳ ゴシック" w:eastAsia="ＭＳ ゴシック" w:hAnsi="ＭＳ ゴシック"/>
                <w:color w:val="000000"/>
                <w:sz w:val="20"/>
                <w:szCs w:val="21"/>
              </w:rPr>
              <w:br/>
            </w:r>
            <w:r w:rsidRPr="00BC1765">
              <w:rPr>
                <w:rFonts w:ascii="ＭＳ ゴシック" w:eastAsia="ＭＳ ゴシック" w:hAnsi="ＭＳ ゴシック" w:hint="eastAsia"/>
                <w:color w:val="000000"/>
                <w:sz w:val="20"/>
                <w:szCs w:val="21"/>
              </w:rPr>
              <w:t>白色面を基準としている。すなわち、色の持つ明るさの度合い。たとえば白や黄色は光の反射する率が高いため明度が高く、逆に黒や青は光の反射する率が少ないため</w:t>
            </w:r>
            <w:r w:rsidRPr="00BC1765">
              <w:rPr>
                <w:rFonts w:ascii="ＭＳ ゴシック" w:eastAsia="ＭＳ ゴシック" w:hAnsi="ＭＳ ゴシック"/>
                <w:color w:val="000000"/>
                <w:sz w:val="20"/>
                <w:szCs w:val="21"/>
              </w:rPr>
              <w:br/>
            </w:r>
            <w:r w:rsidRPr="00BC1765">
              <w:rPr>
                <w:rFonts w:ascii="ＭＳ ゴシック" w:eastAsia="ＭＳ ゴシック" w:hAnsi="ＭＳ ゴシック" w:hint="eastAsia"/>
                <w:color w:val="000000"/>
                <w:sz w:val="20"/>
                <w:szCs w:val="21"/>
              </w:rPr>
              <w:t>明度が低い。</w:t>
            </w:r>
          </w:p>
        </w:tc>
      </w:tr>
      <w:tr w:rsidR="00BC1765" w:rsidRPr="00BC1765" w:rsidTr="00C54816">
        <w:tc>
          <w:tcPr>
            <w:tcW w:w="985" w:type="pct"/>
            <w:gridSpan w:val="2"/>
            <w:tcBorders>
              <w:bottom w:val="nil"/>
            </w:tcBorders>
            <w:shd w:val="clear" w:color="auto" w:fill="auto"/>
          </w:tcPr>
          <w:p w:rsidR="00BC1765" w:rsidRPr="00BC1765" w:rsidRDefault="00BC1765" w:rsidP="00BC1765">
            <w:pPr>
              <w:jc w:val="center"/>
              <w:rPr>
                <w:rFonts w:ascii="ＭＳ ゴシック" w:eastAsia="ＭＳ ゴシック" w:hAnsi="ＭＳ ゴシック"/>
                <w:color w:val="000000"/>
                <w:sz w:val="20"/>
                <w:szCs w:val="21"/>
              </w:rPr>
            </w:pPr>
          </w:p>
        </w:tc>
        <w:tc>
          <w:tcPr>
            <w:tcW w:w="4015" w:type="pct"/>
            <w:gridSpan w:val="2"/>
            <w:tcBorders>
              <w:left w:val="nil"/>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p>
        </w:tc>
      </w:tr>
      <w:tr w:rsidR="00BC1765" w:rsidRPr="00BC1765" w:rsidTr="00C54816">
        <w:tc>
          <w:tcPr>
            <w:tcW w:w="985" w:type="pct"/>
            <w:gridSpan w:val="2"/>
            <w:tcBorders>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盲導鈴</w:t>
            </w:r>
          </w:p>
        </w:tc>
        <w:tc>
          <w:tcPr>
            <w:tcW w:w="4015" w:type="pct"/>
            <w:gridSpan w:val="2"/>
            <w:tcBorders>
              <w:left w:val="nil"/>
              <w:bottom w:val="nil"/>
            </w:tcBorders>
            <w:shd w:val="clear" w:color="auto" w:fill="auto"/>
          </w:tcPr>
          <w:p w:rsidR="00BC1765" w:rsidRPr="00BC1765" w:rsidRDefault="00BC1765" w:rsidP="00BC1765">
            <w:pPr>
              <w:jc w:val="left"/>
              <w:rPr>
                <w:rFonts w:ascii="ＭＳ ゴシック" w:eastAsia="ＭＳ ゴシック" w:hAnsi="ＭＳ ゴシック"/>
                <w:color w:val="000000"/>
                <w:sz w:val="20"/>
                <w:szCs w:val="21"/>
              </w:rPr>
            </w:pPr>
            <w:r w:rsidRPr="00BC1765">
              <w:rPr>
                <w:rFonts w:ascii="ＭＳ ゴシック" w:eastAsia="ＭＳ ゴシック" w:hAnsi="ＭＳ ゴシック" w:hint="eastAsia"/>
                <w:color w:val="000000"/>
                <w:sz w:val="20"/>
                <w:szCs w:val="21"/>
              </w:rPr>
              <w:t>視覚障がい者の誘導・案内用のチャイムや信号音。門や建物出入口等に、その位置を知らせるために取り付けられる。</w:t>
            </w:r>
          </w:p>
        </w:tc>
      </w:tr>
    </w:tbl>
    <w:p w:rsidR="00BC1765" w:rsidRPr="00BC1765" w:rsidRDefault="00BC1765" w:rsidP="00BC1765">
      <w:pPr>
        <w:jc w:val="left"/>
        <w:rPr>
          <w:rFonts w:ascii="ＭＳ ゴシック" w:eastAsia="ＭＳ ゴシック" w:hAnsi="ＭＳ ゴシック"/>
          <w:b/>
          <w:color w:val="000000"/>
          <w:sz w:val="24"/>
        </w:rPr>
      </w:pPr>
    </w:p>
    <w:p w:rsidR="00C53652" w:rsidRPr="00BC1765" w:rsidRDefault="00C53652" w:rsidP="00993A81">
      <w:pPr>
        <w:widowControl/>
        <w:jc w:val="left"/>
        <w:rPr>
          <w:rFonts w:ascii="ＭＳ ゴシック" w:eastAsia="ＭＳ ゴシック" w:hAnsi="ＭＳ ゴシック"/>
        </w:rPr>
      </w:pPr>
      <w:bookmarkStart w:id="0" w:name="_GoBack"/>
      <w:bookmarkEnd w:id="0"/>
    </w:p>
    <w:sectPr w:rsidR="00C53652" w:rsidRPr="00BC1765" w:rsidSect="007E0845">
      <w:headerReference w:type="default" r:id="rId11"/>
      <w:footerReference w:type="default" r:id="rId12"/>
      <w:pgSz w:w="11906" w:h="16838" w:code="9"/>
      <w:pgMar w:top="1134" w:right="1134" w:bottom="851" w:left="1134" w:header="851" w:footer="454" w:gutter="0"/>
      <w:pgNumType w:start="17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EE2" w:rsidRDefault="00F36EE2" w:rsidP="00530B8F">
      <w:r>
        <w:separator/>
      </w:r>
    </w:p>
  </w:endnote>
  <w:endnote w:type="continuationSeparator" w:id="0">
    <w:p w:rsidR="00F36EE2" w:rsidRDefault="00F36EE2" w:rsidP="0053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細丸ゴシック体">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96B" w:rsidRPr="00BC1765" w:rsidRDefault="008E196B" w:rsidP="00926B2B">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EE2" w:rsidRDefault="00F36EE2" w:rsidP="00530B8F">
      <w:r>
        <w:separator/>
      </w:r>
    </w:p>
  </w:footnote>
  <w:footnote w:type="continuationSeparator" w:id="0">
    <w:p w:rsidR="00F36EE2" w:rsidRDefault="00F36EE2" w:rsidP="0053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E7" w:rsidRPr="00BC1765" w:rsidRDefault="00C1351B" w:rsidP="000207E7">
    <w:pPr>
      <w:pStyle w:val="a3"/>
      <w:jc w:val="right"/>
      <w:rPr>
        <w:rFonts w:ascii="ＭＳ ゴシック" w:eastAsia="ＭＳ ゴシック" w:hAnsi="ＭＳ ゴシック"/>
        <w:sz w:val="16"/>
      </w:rPr>
    </w:pPr>
    <w:r w:rsidRPr="00BC1765">
      <w:rPr>
        <w:rFonts w:ascii="ＭＳ ゴシック" w:eastAsia="ＭＳ ゴシック" w:hAnsi="ＭＳ ゴシック" w:hint="eastAsia"/>
        <w:sz w:val="16"/>
      </w:rPr>
      <w:t>大阪府福祉のまちづくり条例ガイドライン</w:t>
    </w:r>
  </w:p>
  <w:p w:rsidR="00C1351B" w:rsidRPr="00BC1765" w:rsidRDefault="000F429D" w:rsidP="000207E7">
    <w:pPr>
      <w:pStyle w:val="a3"/>
      <w:jc w:val="right"/>
      <w:rPr>
        <w:rFonts w:ascii="ＭＳ ゴシック" w:eastAsia="ＭＳ ゴシック" w:hAnsi="ＭＳ ゴシック"/>
        <w:sz w:val="16"/>
      </w:rPr>
    </w:pPr>
    <w:r>
      <w:rPr>
        <w:rFonts w:ascii="ＭＳ ゴシック" w:eastAsia="ＭＳ ゴシック" w:hint="eastAsia"/>
        <w:kern w:val="0"/>
        <w:sz w:val="16"/>
      </w:rPr>
      <w:t>令和</w:t>
    </w:r>
    <w:r w:rsidR="00BC1765">
      <w:rPr>
        <w:rFonts w:ascii="ＭＳ ゴシック" w:eastAsia="ＭＳ ゴシック" w:hint="eastAsia"/>
        <w:kern w:val="0"/>
        <w:sz w:val="16"/>
      </w:rPr>
      <w:t>5</w:t>
    </w:r>
    <w:r w:rsidR="00993A81" w:rsidRPr="00356E5C">
      <w:rPr>
        <w:rFonts w:ascii="ＭＳ ゴシック" w:eastAsia="ＭＳ ゴシック" w:hint="eastAsia"/>
        <w:kern w:val="0"/>
        <w:sz w:val="16"/>
      </w:rPr>
      <w:t>年</w:t>
    </w:r>
    <w:r w:rsidR="00BC1765">
      <w:rPr>
        <w:rFonts w:ascii="ＭＳ ゴシック" w:eastAsia="ＭＳ ゴシック" w:hint="eastAsia"/>
        <w:kern w:val="0"/>
        <w:sz w:val="16"/>
      </w:rPr>
      <w:t>5</w:t>
    </w:r>
    <w:r w:rsidR="00993A81" w:rsidRPr="00356E5C">
      <w:rPr>
        <w:rFonts w:ascii="ＭＳ ゴシック" w:eastAsia="ＭＳ ゴシック" w:hint="eastAsia"/>
        <w:kern w:val="0"/>
        <w:sz w:val="16"/>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B40B2"/>
    <w:multiLevelType w:val="hybridMultilevel"/>
    <w:tmpl w:val="9C7853D2"/>
    <w:lvl w:ilvl="0" w:tplc="B26C653E">
      <w:start w:val="1"/>
      <w:numFmt w:val="decimalFullWidth"/>
      <w:lvlText w:val="［%1］"/>
      <w:lvlJc w:val="left"/>
      <w:pPr>
        <w:ind w:left="1125" w:hanging="1125"/>
      </w:pPr>
      <w:rPr>
        <w:rFonts w:hint="default"/>
        <w:b/>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D5"/>
    <w:rsid w:val="00005C9B"/>
    <w:rsid w:val="0001146A"/>
    <w:rsid w:val="00011CC9"/>
    <w:rsid w:val="00012096"/>
    <w:rsid w:val="00015793"/>
    <w:rsid w:val="00017255"/>
    <w:rsid w:val="000207E7"/>
    <w:rsid w:val="00020980"/>
    <w:rsid w:val="0002650C"/>
    <w:rsid w:val="00032F43"/>
    <w:rsid w:val="00042424"/>
    <w:rsid w:val="00060C73"/>
    <w:rsid w:val="00061B98"/>
    <w:rsid w:val="00065B8A"/>
    <w:rsid w:val="00084249"/>
    <w:rsid w:val="00086526"/>
    <w:rsid w:val="00086D3A"/>
    <w:rsid w:val="000A72A1"/>
    <w:rsid w:val="000A79F8"/>
    <w:rsid w:val="000B101A"/>
    <w:rsid w:val="000B2456"/>
    <w:rsid w:val="000C6504"/>
    <w:rsid w:val="000D451E"/>
    <w:rsid w:val="000F326C"/>
    <w:rsid w:val="000F429D"/>
    <w:rsid w:val="000F4657"/>
    <w:rsid w:val="001030E7"/>
    <w:rsid w:val="00110F4A"/>
    <w:rsid w:val="00114732"/>
    <w:rsid w:val="00114934"/>
    <w:rsid w:val="00122834"/>
    <w:rsid w:val="00124E6B"/>
    <w:rsid w:val="00143BCE"/>
    <w:rsid w:val="00143D9E"/>
    <w:rsid w:val="001666AF"/>
    <w:rsid w:val="00171B4E"/>
    <w:rsid w:val="00173BEB"/>
    <w:rsid w:val="00195A7C"/>
    <w:rsid w:val="0019799B"/>
    <w:rsid w:val="001A4ABB"/>
    <w:rsid w:val="001B6FCB"/>
    <w:rsid w:val="001C1FBB"/>
    <w:rsid w:val="001C302D"/>
    <w:rsid w:val="001C485C"/>
    <w:rsid w:val="001C5139"/>
    <w:rsid w:val="001D605C"/>
    <w:rsid w:val="001E1B2D"/>
    <w:rsid w:val="001F168A"/>
    <w:rsid w:val="001F2B75"/>
    <w:rsid w:val="00213E18"/>
    <w:rsid w:val="002140F9"/>
    <w:rsid w:val="00217CAE"/>
    <w:rsid w:val="00222D67"/>
    <w:rsid w:val="00225430"/>
    <w:rsid w:val="00231593"/>
    <w:rsid w:val="00243080"/>
    <w:rsid w:val="00253EE8"/>
    <w:rsid w:val="002662AA"/>
    <w:rsid w:val="00273031"/>
    <w:rsid w:val="00276C3C"/>
    <w:rsid w:val="00292E40"/>
    <w:rsid w:val="00297D93"/>
    <w:rsid w:val="002C10B6"/>
    <w:rsid w:val="002F0D5F"/>
    <w:rsid w:val="00307E7B"/>
    <w:rsid w:val="00321F89"/>
    <w:rsid w:val="00333CB7"/>
    <w:rsid w:val="0033464C"/>
    <w:rsid w:val="00346427"/>
    <w:rsid w:val="003511D6"/>
    <w:rsid w:val="00352C45"/>
    <w:rsid w:val="00356E5C"/>
    <w:rsid w:val="00364B3A"/>
    <w:rsid w:val="0037409C"/>
    <w:rsid w:val="00381439"/>
    <w:rsid w:val="00381DE3"/>
    <w:rsid w:val="003843EE"/>
    <w:rsid w:val="00387778"/>
    <w:rsid w:val="0039576B"/>
    <w:rsid w:val="003A32B6"/>
    <w:rsid w:val="003A5F83"/>
    <w:rsid w:val="003A6B3F"/>
    <w:rsid w:val="003A74D3"/>
    <w:rsid w:val="003A7510"/>
    <w:rsid w:val="003B10F9"/>
    <w:rsid w:val="003B78FC"/>
    <w:rsid w:val="003C7DE4"/>
    <w:rsid w:val="003E1C85"/>
    <w:rsid w:val="003E77A6"/>
    <w:rsid w:val="003F1D2C"/>
    <w:rsid w:val="003F46D0"/>
    <w:rsid w:val="003F5B69"/>
    <w:rsid w:val="00400B11"/>
    <w:rsid w:val="004020B8"/>
    <w:rsid w:val="00415F48"/>
    <w:rsid w:val="00420EB3"/>
    <w:rsid w:val="004212E6"/>
    <w:rsid w:val="00426B4A"/>
    <w:rsid w:val="00426E0B"/>
    <w:rsid w:val="004271DF"/>
    <w:rsid w:val="004277D5"/>
    <w:rsid w:val="004311EB"/>
    <w:rsid w:val="004346CF"/>
    <w:rsid w:val="004475F5"/>
    <w:rsid w:val="004626BA"/>
    <w:rsid w:val="0046694A"/>
    <w:rsid w:val="00471259"/>
    <w:rsid w:val="00473CDA"/>
    <w:rsid w:val="00480449"/>
    <w:rsid w:val="00481C01"/>
    <w:rsid w:val="004858C2"/>
    <w:rsid w:val="00495730"/>
    <w:rsid w:val="004B7CFA"/>
    <w:rsid w:val="004D3D89"/>
    <w:rsid w:val="004D6D53"/>
    <w:rsid w:val="004E1020"/>
    <w:rsid w:val="004E42B2"/>
    <w:rsid w:val="004F68D6"/>
    <w:rsid w:val="004F7496"/>
    <w:rsid w:val="00506506"/>
    <w:rsid w:val="00507BE7"/>
    <w:rsid w:val="00514B50"/>
    <w:rsid w:val="0052096E"/>
    <w:rsid w:val="00520AA8"/>
    <w:rsid w:val="0052172A"/>
    <w:rsid w:val="00525683"/>
    <w:rsid w:val="00526301"/>
    <w:rsid w:val="00530B8F"/>
    <w:rsid w:val="00530C21"/>
    <w:rsid w:val="00532B00"/>
    <w:rsid w:val="00532F0E"/>
    <w:rsid w:val="00534055"/>
    <w:rsid w:val="00542552"/>
    <w:rsid w:val="0054653C"/>
    <w:rsid w:val="0055051D"/>
    <w:rsid w:val="00553F9B"/>
    <w:rsid w:val="005619F8"/>
    <w:rsid w:val="005621EB"/>
    <w:rsid w:val="0056296D"/>
    <w:rsid w:val="00575763"/>
    <w:rsid w:val="0057677B"/>
    <w:rsid w:val="005816E7"/>
    <w:rsid w:val="00590779"/>
    <w:rsid w:val="00592D58"/>
    <w:rsid w:val="00593C69"/>
    <w:rsid w:val="005943AB"/>
    <w:rsid w:val="005A7838"/>
    <w:rsid w:val="005C6543"/>
    <w:rsid w:val="005D4043"/>
    <w:rsid w:val="005E2EDB"/>
    <w:rsid w:val="005E35A3"/>
    <w:rsid w:val="005F0EFF"/>
    <w:rsid w:val="0060003F"/>
    <w:rsid w:val="00611F8D"/>
    <w:rsid w:val="006269B8"/>
    <w:rsid w:val="0064313B"/>
    <w:rsid w:val="00644114"/>
    <w:rsid w:val="00657408"/>
    <w:rsid w:val="006804D1"/>
    <w:rsid w:val="00691479"/>
    <w:rsid w:val="00692C1D"/>
    <w:rsid w:val="006A450F"/>
    <w:rsid w:val="006A7803"/>
    <w:rsid w:val="006B5C38"/>
    <w:rsid w:val="006B715F"/>
    <w:rsid w:val="006D1C39"/>
    <w:rsid w:val="006D5482"/>
    <w:rsid w:val="006D60AF"/>
    <w:rsid w:val="006E6D94"/>
    <w:rsid w:val="00701376"/>
    <w:rsid w:val="007033C0"/>
    <w:rsid w:val="007160C6"/>
    <w:rsid w:val="00716BA2"/>
    <w:rsid w:val="007208F6"/>
    <w:rsid w:val="00720DE7"/>
    <w:rsid w:val="00723794"/>
    <w:rsid w:val="0072638F"/>
    <w:rsid w:val="00730D28"/>
    <w:rsid w:val="0074492B"/>
    <w:rsid w:val="00754881"/>
    <w:rsid w:val="00775664"/>
    <w:rsid w:val="00786B9D"/>
    <w:rsid w:val="00787763"/>
    <w:rsid w:val="007879F7"/>
    <w:rsid w:val="007918CC"/>
    <w:rsid w:val="007951E3"/>
    <w:rsid w:val="007959E1"/>
    <w:rsid w:val="007A1A8C"/>
    <w:rsid w:val="007B4C49"/>
    <w:rsid w:val="007C042F"/>
    <w:rsid w:val="007C72A3"/>
    <w:rsid w:val="007C7E8B"/>
    <w:rsid w:val="007E0845"/>
    <w:rsid w:val="007E4D6A"/>
    <w:rsid w:val="007E768E"/>
    <w:rsid w:val="007F22AD"/>
    <w:rsid w:val="007F7189"/>
    <w:rsid w:val="008029D9"/>
    <w:rsid w:val="00803E4D"/>
    <w:rsid w:val="008249E5"/>
    <w:rsid w:val="00870796"/>
    <w:rsid w:val="00871A97"/>
    <w:rsid w:val="0088074E"/>
    <w:rsid w:val="00881092"/>
    <w:rsid w:val="008821E1"/>
    <w:rsid w:val="00892614"/>
    <w:rsid w:val="00892E7D"/>
    <w:rsid w:val="008A2178"/>
    <w:rsid w:val="008B0CCC"/>
    <w:rsid w:val="008C2CA7"/>
    <w:rsid w:val="008D5223"/>
    <w:rsid w:val="008E196B"/>
    <w:rsid w:val="008E37FB"/>
    <w:rsid w:val="008F7473"/>
    <w:rsid w:val="00913419"/>
    <w:rsid w:val="00926B2B"/>
    <w:rsid w:val="00933970"/>
    <w:rsid w:val="009401AA"/>
    <w:rsid w:val="009429B1"/>
    <w:rsid w:val="00943F89"/>
    <w:rsid w:val="00960EE8"/>
    <w:rsid w:val="00961197"/>
    <w:rsid w:val="00964507"/>
    <w:rsid w:val="0097491A"/>
    <w:rsid w:val="00977739"/>
    <w:rsid w:val="009823F6"/>
    <w:rsid w:val="0099033A"/>
    <w:rsid w:val="00993A81"/>
    <w:rsid w:val="00994C83"/>
    <w:rsid w:val="009A594F"/>
    <w:rsid w:val="009D20B4"/>
    <w:rsid w:val="009D20DE"/>
    <w:rsid w:val="009D4B6F"/>
    <w:rsid w:val="009F72F0"/>
    <w:rsid w:val="009F733B"/>
    <w:rsid w:val="00A041BF"/>
    <w:rsid w:val="00A0631C"/>
    <w:rsid w:val="00A0760D"/>
    <w:rsid w:val="00A210AF"/>
    <w:rsid w:val="00A23E8C"/>
    <w:rsid w:val="00A2639B"/>
    <w:rsid w:val="00A404AF"/>
    <w:rsid w:val="00A47E90"/>
    <w:rsid w:val="00A50D7D"/>
    <w:rsid w:val="00A56936"/>
    <w:rsid w:val="00A623F7"/>
    <w:rsid w:val="00A675CB"/>
    <w:rsid w:val="00A7293C"/>
    <w:rsid w:val="00A85EA2"/>
    <w:rsid w:val="00A92418"/>
    <w:rsid w:val="00A92E22"/>
    <w:rsid w:val="00A95A63"/>
    <w:rsid w:val="00AA177F"/>
    <w:rsid w:val="00AA7B24"/>
    <w:rsid w:val="00AB5165"/>
    <w:rsid w:val="00AC3906"/>
    <w:rsid w:val="00AC6478"/>
    <w:rsid w:val="00AC6A28"/>
    <w:rsid w:val="00AD768D"/>
    <w:rsid w:val="00AE5A99"/>
    <w:rsid w:val="00AF6F1C"/>
    <w:rsid w:val="00AF7B02"/>
    <w:rsid w:val="00B0509B"/>
    <w:rsid w:val="00B10348"/>
    <w:rsid w:val="00B156DB"/>
    <w:rsid w:val="00B15C89"/>
    <w:rsid w:val="00B2089F"/>
    <w:rsid w:val="00B402A7"/>
    <w:rsid w:val="00B65E3B"/>
    <w:rsid w:val="00B66F8E"/>
    <w:rsid w:val="00B81572"/>
    <w:rsid w:val="00B93751"/>
    <w:rsid w:val="00BB5E55"/>
    <w:rsid w:val="00BC1765"/>
    <w:rsid w:val="00BC41E4"/>
    <w:rsid w:val="00BC63F8"/>
    <w:rsid w:val="00BD02A1"/>
    <w:rsid w:val="00BD180A"/>
    <w:rsid w:val="00BE0768"/>
    <w:rsid w:val="00BE0A48"/>
    <w:rsid w:val="00BE6DE3"/>
    <w:rsid w:val="00BF5036"/>
    <w:rsid w:val="00BF6B8E"/>
    <w:rsid w:val="00C062CF"/>
    <w:rsid w:val="00C1351B"/>
    <w:rsid w:val="00C13FF3"/>
    <w:rsid w:val="00C2656B"/>
    <w:rsid w:val="00C33990"/>
    <w:rsid w:val="00C374BB"/>
    <w:rsid w:val="00C4101E"/>
    <w:rsid w:val="00C46D50"/>
    <w:rsid w:val="00C5213E"/>
    <w:rsid w:val="00C53652"/>
    <w:rsid w:val="00C60F97"/>
    <w:rsid w:val="00C61721"/>
    <w:rsid w:val="00C62A3F"/>
    <w:rsid w:val="00C65559"/>
    <w:rsid w:val="00C85492"/>
    <w:rsid w:val="00C95546"/>
    <w:rsid w:val="00CA6ACB"/>
    <w:rsid w:val="00CD7ED5"/>
    <w:rsid w:val="00CE1165"/>
    <w:rsid w:val="00CE50A0"/>
    <w:rsid w:val="00CF5734"/>
    <w:rsid w:val="00CF63E5"/>
    <w:rsid w:val="00D21549"/>
    <w:rsid w:val="00D216D7"/>
    <w:rsid w:val="00D2405D"/>
    <w:rsid w:val="00D24B72"/>
    <w:rsid w:val="00D258A3"/>
    <w:rsid w:val="00D26A7A"/>
    <w:rsid w:val="00D342AA"/>
    <w:rsid w:val="00D45F8D"/>
    <w:rsid w:val="00D51B6B"/>
    <w:rsid w:val="00D5691D"/>
    <w:rsid w:val="00D718D8"/>
    <w:rsid w:val="00D72867"/>
    <w:rsid w:val="00D72AEB"/>
    <w:rsid w:val="00D9035C"/>
    <w:rsid w:val="00D935E7"/>
    <w:rsid w:val="00DA2DB8"/>
    <w:rsid w:val="00DA3581"/>
    <w:rsid w:val="00DA37E9"/>
    <w:rsid w:val="00DA447F"/>
    <w:rsid w:val="00DA4956"/>
    <w:rsid w:val="00DB7BF2"/>
    <w:rsid w:val="00DD0C62"/>
    <w:rsid w:val="00DF4185"/>
    <w:rsid w:val="00E023AA"/>
    <w:rsid w:val="00E517CF"/>
    <w:rsid w:val="00E6695F"/>
    <w:rsid w:val="00E76C53"/>
    <w:rsid w:val="00E8589F"/>
    <w:rsid w:val="00E87369"/>
    <w:rsid w:val="00E91D4F"/>
    <w:rsid w:val="00EA0463"/>
    <w:rsid w:val="00EA2C8A"/>
    <w:rsid w:val="00EA7011"/>
    <w:rsid w:val="00EA759F"/>
    <w:rsid w:val="00EB1DD4"/>
    <w:rsid w:val="00EB340E"/>
    <w:rsid w:val="00EB666E"/>
    <w:rsid w:val="00EB6A56"/>
    <w:rsid w:val="00EC3E1B"/>
    <w:rsid w:val="00ED22E7"/>
    <w:rsid w:val="00EF71AA"/>
    <w:rsid w:val="00F03B7D"/>
    <w:rsid w:val="00F053BB"/>
    <w:rsid w:val="00F056CE"/>
    <w:rsid w:val="00F13494"/>
    <w:rsid w:val="00F13648"/>
    <w:rsid w:val="00F17568"/>
    <w:rsid w:val="00F2220E"/>
    <w:rsid w:val="00F27174"/>
    <w:rsid w:val="00F36EE2"/>
    <w:rsid w:val="00F40985"/>
    <w:rsid w:val="00F46416"/>
    <w:rsid w:val="00F57C4B"/>
    <w:rsid w:val="00F65E28"/>
    <w:rsid w:val="00FA1F2B"/>
    <w:rsid w:val="00FA7EBE"/>
    <w:rsid w:val="00FB62BC"/>
    <w:rsid w:val="00FC47E3"/>
    <w:rsid w:val="00FC54BA"/>
    <w:rsid w:val="00FE1EB6"/>
    <w:rsid w:val="00FF10B9"/>
    <w:rsid w:val="00FF26D5"/>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F68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ＤＦ細丸ゴシック体" w:eastAsia="ＤＦ細丸ゴシック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B8F"/>
    <w:pPr>
      <w:tabs>
        <w:tab w:val="center" w:pos="4252"/>
        <w:tab w:val="right" w:pos="8504"/>
      </w:tabs>
      <w:snapToGrid w:val="0"/>
    </w:pPr>
  </w:style>
  <w:style w:type="character" w:customStyle="1" w:styleId="a4">
    <w:name w:val="ヘッダー (文字)"/>
    <w:basedOn w:val="a0"/>
    <w:link w:val="a3"/>
    <w:uiPriority w:val="99"/>
    <w:rsid w:val="00530B8F"/>
    <w:rPr>
      <w:rFonts w:ascii="ＤＦ細丸ゴシック体" w:eastAsia="ＤＦ細丸ゴシック体"/>
    </w:rPr>
  </w:style>
  <w:style w:type="paragraph" w:styleId="a5">
    <w:name w:val="footer"/>
    <w:basedOn w:val="a"/>
    <w:link w:val="a6"/>
    <w:uiPriority w:val="99"/>
    <w:unhideWhenUsed/>
    <w:rsid w:val="00530B8F"/>
    <w:pPr>
      <w:tabs>
        <w:tab w:val="center" w:pos="4252"/>
        <w:tab w:val="right" w:pos="8504"/>
      </w:tabs>
      <w:snapToGrid w:val="0"/>
    </w:pPr>
  </w:style>
  <w:style w:type="character" w:customStyle="1" w:styleId="a6">
    <w:name w:val="フッター (文字)"/>
    <w:basedOn w:val="a0"/>
    <w:link w:val="a5"/>
    <w:uiPriority w:val="99"/>
    <w:rsid w:val="00530B8F"/>
    <w:rPr>
      <w:rFonts w:ascii="ＤＦ細丸ゴシック体" w:eastAsia="ＤＦ細丸ゴシック体"/>
    </w:rPr>
  </w:style>
  <w:style w:type="paragraph" w:styleId="a7">
    <w:name w:val="Balloon Text"/>
    <w:basedOn w:val="a"/>
    <w:link w:val="a8"/>
    <w:uiPriority w:val="99"/>
    <w:semiHidden/>
    <w:unhideWhenUsed/>
    <w:rsid w:val="00E023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23AA"/>
    <w:rPr>
      <w:rFonts w:asciiTheme="majorHAnsi" w:eastAsiaTheme="majorEastAsia" w:hAnsiTheme="majorHAnsi" w:cstheme="majorBidi"/>
      <w:sz w:val="18"/>
      <w:szCs w:val="18"/>
    </w:rPr>
  </w:style>
  <w:style w:type="paragraph" w:styleId="Web">
    <w:name w:val="Normal (Web)"/>
    <w:basedOn w:val="a"/>
    <w:uiPriority w:val="99"/>
    <w:semiHidden/>
    <w:unhideWhenUsed/>
    <w:rsid w:val="00C374BB"/>
    <w:rPr>
      <w:rFonts w:ascii="Times New Roman" w:hAnsi="Times New Roman"/>
      <w:sz w:val="24"/>
    </w:rPr>
  </w:style>
  <w:style w:type="table" w:styleId="a9">
    <w:name w:val="Table Grid"/>
    <w:basedOn w:val="a1"/>
    <w:uiPriority w:val="59"/>
    <w:rsid w:val="00FF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C41E4"/>
    <w:pPr>
      <w:ind w:leftChars="400" w:left="840"/>
    </w:pPr>
  </w:style>
  <w:style w:type="table" w:styleId="2">
    <w:name w:val="Light List Accent 1"/>
    <w:basedOn w:val="a1"/>
    <w:uiPriority w:val="61"/>
    <w:rsid w:val="00A0631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Plain Text"/>
    <w:basedOn w:val="a"/>
    <w:link w:val="ac"/>
    <w:uiPriority w:val="99"/>
    <w:unhideWhenUsed/>
    <w:rsid w:val="00723794"/>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723794"/>
    <w:rPr>
      <w:rFonts w:hAnsi="Courier New" w:cs="Courier New"/>
      <w:sz w:val="20"/>
      <w:szCs w:val="21"/>
    </w:rPr>
  </w:style>
  <w:style w:type="character" w:styleId="ad">
    <w:name w:val="Hyperlink"/>
    <w:basedOn w:val="a0"/>
    <w:uiPriority w:val="99"/>
    <w:unhideWhenUsed/>
    <w:rsid w:val="004626BA"/>
    <w:rPr>
      <w:color w:val="0000FF" w:themeColor="hyperlink"/>
      <w:u w:val="single"/>
    </w:rPr>
  </w:style>
  <w:style w:type="table" w:customStyle="1" w:styleId="20">
    <w:name w:val="表 (格子)2"/>
    <w:basedOn w:val="a1"/>
    <w:next w:val="a9"/>
    <w:uiPriority w:val="59"/>
    <w:rsid w:val="00993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0" ma:contentTypeDescription="新しいドキュメントを作成します。" ma:contentTypeScope="" ma:versionID="28c11ee6754f17aecf9272346932e381">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32EF8-10E7-418C-AB2C-91BD1EBCC8CA}">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BD8BA17-F688-4D42-B5F8-B7C590D1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22D82D-E711-4AE1-987F-E4E1485094A9}">
  <ds:schemaRefs>
    <ds:schemaRef ds:uri="http://schemas.microsoft.com/sharepoint/v3/contenttype/forms"/>
  </ds:schemaRefs>
</ds:datastoreItem>
</file>

<file path=customXml/itemProps4.xml><?xml version="1.0" encoding="utf-8"?>
<ds:datastoreItem xmlns:ds="http://schemas.openxmlformats.org/officeDocument/2006/customXml" ds:itemID="{3FC15C40-5B2B-4D86-A3AB-471C69C4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654</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2020-01-31T06:27:00Z</dcterms:created>
  <dcterms:modified xsi:type="dcterms:W3CDTF">2023-05-24T01:54:00Z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