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4BC6" w:rsidRDefault="00066E88" w:rsidP="00600AFC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-650875</wp:posOffset>
                </wp:positionV>
                <wp:extent cx="9429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E88" w:rsidRPr="00066E88" w:rsidRDefault="00FF3EB8" w:rsidP="00066E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2pt;margin-top:-51.25pt;width:74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dfswIAAMQFAAAOAAAAZHJzL2Uyb0RvYy54bWysVMFOGzEQvVfqP1i+l01CgB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" fillcolor="white [3201]" strokeweight=".5pt">
                <v:textbox>
                  <w:txbxContent>
                    <w:p w:rsidR="00066E88" w:rsidRPr="00066E88" w:rsidRDefault="00FF3EB8" w:rsidP="00066E8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資料１４</w:t>
                      </w:r>
                    </w:p>
                  </w:txbxContent>
                </v:textbox>
              </v:shape>
            </w:pict>
          </mc:Fallback>
        </mc:AlternateContent>
      </w:r>
      <w:r w:rsidR="009820EE" w:rsidRPr="0034403B">
        <w:rPr>
          <w:rFonts w:asciiTheme="majorEastAsia" w:eastAsiaTheme="majorEastAsia" w:hAnsiTheme="majorEastAsia" w:hint="eastAsia"/>
          <w:sz w:val="28"/>
        </w:rPr>
        <w:t>第</w:t>
      </w:r>
      <w:r w:rsidR="00600AFC">
        <w:rPr>
          <w:rFonts w:asciiTheme="majorEastAsia" w:eastAsiaTheme="majorEastAsia" w:hAnsiTheme="majorEastAsia" w:hint="eastAsia"/>
          <w:sz w:val="28"/>
        </w:rPr>
        <w:t>７</w:t>
      </w:r>
      <w:r w:rsidR="009820EE" w:rsidRPr="0034403B">
        <w:rPr>
          <w:rFonts w:asciiTheme="majorEastAsia" w:eastAsiaTheme="majorEastAsia" w:hAnsiTheme="majorEastAsia" w:hint="eastAsia"/>
          <w:sz w:val="28"/>
        </w:rPr>
        <w:t>期</w:t>
      </w:r>
      <w:r w:rsidR="00600AFC">
        <w:rPr>
          <w:rFonts w:asciiTheme="majorEastAsia" w:eastAsiaTheme="majorEastAsia" w:hAnsiTheme="majorEastAsia" w:hint="eastAsia"/>
          <w:sz w:val="28"/>
        </w:rPr>
        <w:t>大阪府高齢者計画</w:t>
      </w:r>
      <w:r w:rsidR="00BF4BC6">
        <w:rPr>
          <w:rFonts w:asciiTheme="majorEastAsia" w:eastAsiaTheme="majorEastAsia" w:hAnsiTheme="majorEastAsia" w:hint="eastAsia"/>
          <w:sz w:val="28"/>
        </w:rPr>
        <w:t>策定に向けて</w:t>
      </w:r>
    </w:p>
    <w:p w:rsidR="00600AFC" w:rsidRDefault="00BF4BC6" w:rsidP="00BF4BC6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ご議論いただきたい</w:t>
      </w:r>
      <w:r w:rsidR="009820EE" w:rsidRPr="0034403B">
        <w:rPr>
          <w:rFonts w:asciiTheme="majorEastAsia" w:eastAsiaTheme="majorEastAsia" w:hAnsiTheme="majorEastAsia" w:hint="eastAsia"/>
          <w:sz w:val="28"/>
        </w:rPr>
        <w:t>事項について</w:t>
      </w:r>
    </w:p>
    <w:p w:rsidR="009820EE" w:rsidRPr="00BF4BC6" w:rsidRDefault="009820EE" w:rsidP="0034403B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F86700" w:rsidRDefault="00F86700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F86700" w:rsidRPr="009E1231" w:rsidRDefault="00F86700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9E1231" w:rsidRPr="009E1231" w:rsidRDefault="009E1231" w:rsidP="00600AFC">
      <w:pPr>
        <w:adjustRightInd w:val="0"/>
        <w:snapToGrid w:val="0"/>
        <w:ind w:left="280" w:hangingChars="100" w:hanging="28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>○</w:t>
      </w:r>
      <w:r w:rsidR="00F86700">
        <w:rPr>
          <w:rFonts w:asciiTheme="majorEastAsia" w:eastAsiaTheme="majorEastAsia" w:hAnsiTheme="majorEastAsia" w:hint="eastAsia"/>
          <w:sz w:val="28"/>
        </w:rPr>
        <w:t>専門部会報告書や第６期計画</w:t>
      </w:r>
      <w:r w:rsidR="00F86700" w:rsidRPr="00F86700">
        <w:rPr>
          <w:rFonts w:asciiTheme="majorEastAsia" w:eastAsiaTheme="majorEastAsia" w:hAnsiTheme="majorEastAsia" w:hint="eastAsia"/>
          <w:sz w:val="28"/>
        </w:rPr>
        <w:t>の</w:t>
      </w:r>
      <w:r w:rsidR="00F86700">
        <w:rPr>
          <w:rFonts w:asciiTheme="majorEastAsia" w:eastAsiaTheme="majorEastAsia" w:hAnsiTheme="majorEastAsia" w:hint="eastAsia"/>
          <w:sz w:val="28"/>
        </w:rPr>
        <w:t>目次</w:t>
      </w:r>
      <w:r w:rsidR="00F86700" w:rsidRPr="00F86700">
        <w:rPr>
          <w:rFonts w:asciiTheme="majorEastAsia" w:eastAsiaTheme="majorEastAsia" w:hAnsiTheme="majorEastAsia" w:hint="eastAsia"/>
          <w:sz w:val="28"/>
        </w:rPr>
        <w:t>項目（別添「大阪府高齢者計画２０１５」の目次参照）</w:t>
      </w:r>
      <w:r w:rsidR="00F86700">
        <w:rPr>
          <w:rFonts w:asciiTheme="majorEastAsia" w:eastAsiaTheme="majorEastAsia" w:hAnsiTheme="majorEastAsia" w:hint="eastAsia"/>
          <w:sz w:val="28"/>
        </w:rPr>
        <w:t>を参考にしつつ、</w:t>
      </w:r>
      <w:r w:rsidRPr="009E1231">
        <w:rPr>
          <w:rFonts w:asciiTheme="majorEastAsia" w:eastAsiaTheme="majorEastAsia" w:hAnsiTheme="majorEastAsia" w:hint="eastAsia"/>
          <w:sz w:val="28"/>
        </w:rPr>
        <w:t>施策の推進方策</w:t>
      </w:r>
      <w:r w:rsidR="00600AFC">
        <w:rPr>
          <w:rFonts w:asciiTheme="majorEastAsia" w:eastAsiaTheme="majorEastAsia" w:hAnsiTheme="majorEastAsia" w:hint="eastAsia"/>
          <w:sz w:val="28"/>
        </w:rPr>
        <w:t>について、どのようなことを盛り込んでいくべきか。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地域ケア会議のあり方について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医療・介護連携のあり方について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地域の支え合い体制の整備（総合事業の進め方）について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認知症高齢者等支援策について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これからの高齢者住まいのあり方について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介護予防、健康づくりについて</w:t>
      </w:r>
    </w:p>
    <w:p w:rsidR="00F86700" w:rsidRDefault="009E1231" w:rsidP="00F86700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 xml:space="preserve">　・　適切な要介護認定の推進や介護サービスの質の向上について</w:t>
      </w:r>
    </w:p>
    <w:p w:rsidR="00F86700" w:rsidRPr="00F86700" w:rsidRDefault="00F86700" w:rsidP="00F86700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86700">
        <w:rPr>
          <w:rFonts w:asciiTheme="majorEastAsia" w:eastAsiaTheme="majorEastAsia" w:hAnsiTheme="majorEastAsia" w:hint="eastAsia"/>
          <w:sz w:val="28"/>
        </w:rPr>
        <w:t>福祉・介護サービス基盤の整備（人材確保方策等）について</w:t>
      </w:r>
    </w:p>
    <w:p w:rsidR="009E1231" w:rsidRPr="009E1231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9E1231" w:rsidRPr="009E1231" w:rsidRDefault="009E1231" w:rsidP="00600AFC">
      <w:pPr>
        <w:adjustRightInd w:val="0"/>
        <w:snapToGrid w:val="0"/>
        <w:ind w:left="280" w:hangingChars="100" w:hanging="28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>○介護サービス量の見込みや、施設・居住系サービス・地</w:t>
      </w:r>
      <w:r w:rsidR="00600AFC">
        <w:rPr>
          <w:rFonts w:asciiTheme="majorEastAsia" w:eastAsiaTheme="majorEastAsia" w:hAnsiTheme="majorEastAsia" w:hint="eastAsia"/>
          <w:sz w:val="28"/>
        </w:rPr>
        <w:t>域密着型サービスの必要入所（利用）定員総数の設定に当たっては、どのようなことに留意していく必要があるか。</w:t>
      </w:r>
    </w:p>
    <w:p w:rsidR="009E1231" w:rsidRPr="00600AFC" w:rsidRDefault="009E1231" w:rsidP="009E123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34403B" w:rsidRDefault="009E1231" w:rsidP="00600AFC">
      <w:pPr>
        <w:adjustRightInd w:val="0"/>
        <w:snapToGrid w:val="0"/>
        <w:ind w:left="280" w:hangingChars="100" w:hanging="280"/>
        <w:rPr>
          <w:rFonts w:asciiTheme="majorEastAsia" w:eastAsiaTheme="majorEastAsia" w:hAnsiTheme="majorEastAsia"/>
          <w:sz w:val="28"/>
        </w:rPr>
      </w:pPr>
      <w:r w:rsidRPr="009E1231">
        <w:rPr>
          <w:rFonts w:asciiTheme="majorEastAsia" w:eastAsiaTheme="majorEastAsia" w:hAnsiTheme="majorEastAsia" w:hint="eastAsia"/>
          <w:sz w:val="28"/>
        </w:rPr>
        <w:t>○</w:t>
      </w:r>
      <w:r w:rsidR="00600AFC">
        <w:rPr>
          <w:rFonts w:asciiTheme="majorEastAsia" w:eastAsiaTheme="majorEastAsia" w:hAnsiTheme="majorEastAsia" w:hint="eastAsia"/>
          <w:sz w:val="28"/>
        </w:rPr>
        <w:t>今国会提出の介護保険法改正案により、市町村計画に「</w:t>
      </w:r>
      <w:r w:rsidRPr="009E1231">
        <w:rPr>
          <w:rFonts w:asciiTheme="majorEastAsia" w:eastAsiaTheme="majorEastAsia" w:hAnsiTheme="majorEastAsia" w:hint="eastAsia"/>
          <w:sz w:val="28"/>
        </w:rPr>
        <w:t>介護予防</w:t>
      </w:r>
      <w:r w:rsidR="00600AFC">
        <w:rPr>
          <w:rFonts w:asciiTheme="majorEastAsia" w:eastAsiaTheme="majorEastAsia" w:hAnsiTheme="majorEastAsia" w:hint="eastAsia"/>
          <w:sz w:val="28"/>
        </w:rPr>
        <w:t>・重度化防止等の取組内容と目標」を記載することや、都道府県に市町村支援策を</w:t>
      </w:r>
      <w:r w:rsidRPr="009E1231">
        <w:rPr>
          <w:rFonts w:asciiTheme="majorEastAsia" w:eastAsiaTheme="majorEastAsia" w:hAnsiTheme="majorEastAsia" w:hint="eastAsia"/>
          <w:sz w:val="28"/>
        </w:rPr>
        <w:t>設定</w:t>
      </w:r>
      <w:r w:rsidR="00600AFC">
        <w:rPr>
          <w:rFonts w:asciiTheme="majorEastAsia" w:eastAsiaTheme="majorEastAsia" w:hAnsiTheme="majorEastAsia" w:hint="eastAsia"/>
          <w:sz w:val="28"/>
        </w:rPr>
        <w:t>することが求められるようになることを踏まえ、留意しておくべき</w:t>
      </w:r>
      <w:r w:rsidR="0034403B">
        <w:rPr>
          <w:rFonts w:asciiTheme="majorEastAsia" w:eastAsiaTheme="majorEastAsia" w:hAnsiTheme="majorEastAsia" w:hint="eastAsia"/>
          <w:sz w:val="28"/>
        </w:rPr>
        <w:t>事項は何か。</w:t>
      </w:r>
    </w:p>
    <w:p w:rsidR="00F86700" w:rsidRDefault="00F86700" w:rsidP="00600AFC">
      <w:pPr>
        <w:adjustRightInd w:val="0"/>
        <w:snapToGrid w:val="0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:rsidR="00600AFC" w:rsidRPr="00600AFC" w:rsidRDefault="00F86700" w:rsidP="00F86700">
      <w:pPr>
        <w:adjustRightInd w:val="0"/>
        <w:snapToGrid w:val="0"/>
        <w:ind w:left="280" w:hangingChars="100" w:hanging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○その他、目次に追記しておくべき項目や、</w:t>
      </w:r>
      <w:r w:rsidR="00600AFC">
        <w:rPr>
          <w:rFonts w:asciiTheme="majorEastAsia" w:eastAsiaTheme="majorEastAsia" w:hAnsiTheme="majorEastAsia" w:hint="eastAsia"/>
          <w:sz w:val="28"/>
        </w:rPr>
        <w:t>現時点において議論しておくべき事項があるか。</w:t>
      </w:r>
    </w:p>
    <w:p w:rsidR="00600AFC" w:rsidRDefault="00600AFC">
      <w:pPr>
        <w:widowControl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34403B" w:rsidRPr="0034403B" w:rsidRDefault="009E1231" w:rsidP="0034403B">
      <w:pPr>
        <w:jc w:val="righ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lastRenderedPageBreak/>
        <w:t>（別添</w:t>
      </w:r>
      <w:r w:rsidR="0034403B" w:rsidRPr="0034403B">
        <w:rPr>
          <w:rFonts w:asciiTheme="majorEastAsia" w:eastAsiaTheme="majorEastAsia" w:hAnsiTheme="majorEastAsia" w:hint="eastAsia"/>
          <w:b/>
          <w:sz w:val="28"/>
        </w:rPr>
        <w:t>）</w:t>
      </w:r>
    </w:p>
    <w:p w:rsidR="0034403B" w:rsidRPr="00600AFC" w:rsidRDefault="0034403B" w:rsidP="0034403B">
      <w:pPr>
        <w:jc w:val="center"/>
        <w:rPr>
          <w:rFonts w:asciiTheme="majorEastAsia" w:eastAsiaTheme="majorEastAsia" w:hAnsiTheme="majorEastAsia"/>
          <w:sz w:val="24"/>
        </w:rPr>
      </w:pPr>
      <w:r w:rsidRPr="00600AFC">
        <w:rPr>
          <w:rFonts w:asciiTheme="majorEastAsia" w:eastAsiaTheme="majorEastAsia" w:hAnsiTheme="majorEastAsia" w:hint="eastAsia"/>
          <w:sz w:val="24"/>
        </w:rPr>
        <w:t>大阪府高齢者計画２０１５の目次</w:t>
      </w:r>
    </w:p>
    <w:p w:rsidR="0034403B" w:rsidRDefault="0034403B" w:rsidP="009820EE">
      <w:pPr>
        <w:rPr>
          <w:rFonts w:asciiTheme="majorEastAsia" w:eastAsiaTheme="majorEastAsia" w:hAnsiTheme="majorEastAsia"/>
        </w:rPr>
      </w:pP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第１章　計画策定の意義 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 xml:space="preserve">第１節 計画策定の趣旨 </w:t>
      </w:r>
    </w:p>
    <w:p w:rsidR="009820EE" w:rsidRDefault="009820EE" w:rsidP="009820EE">
      <w:r>
        <w:rPr>
          <w:rFonts w:hint="eastAsia"/>
        </w:rPr>
        <w:t xml:space="preserve">　　第１項</w:t>
      </w:r>
      <w:r>
        <w:rPr>
          <w:rFonts w:hint="eastAsia"/>
        </w:rPr>
        <w:t xml:space="preserve"> </w:t>
      </w:r>
      <w:r>
        <w:rPr>
          <w:rFonts w:hint="eastAsia"/>
        </w:rPr>
        <w:t>策定の趣旨</w:t>
      </w:r>
    </w:p>
    <w:p w:rsidR="009820EE" w:rsidRDefault="009820EE" w:rsidP="009820EE">
      <w:r>
        <w:rPr>
          <w:rFonts w:hint="eastAsia"/>
        </w:rPr>
        <w:t xml:space="preserve">　　第２項</w:t>
      </w:r>
      <w:r>
        <w:rPr>
          <w:rFonts w:hint="eastAsia"/>
        </w:rPr>
        <w:t xml:space="preserve"> </w:t>
      </w:r>
      <w:r>
        <w:rPr>
          <w:rFonts w:hint="eastAsia"/>
        </w:rPr>
        <w:t>計画の性格、法的位置づけ</w:t>
      </w:r>
    </w:p>
    <w:p w:rsidR="009820EE" w:rsidRDefault="009820EE" w:rsidP="009820EE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老人福祉計画及び介護保険事業支援計画</w:t>
      </w:r>
    </w:p>
    <w:p w:rsidR="009820EE" w:rsidRDefault="009820EE" w:rsidP="009820EE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総合確保方針に即した計画</w:t>
      </w:r>
    </w:p>
    <w:p w:rsidR="009820EE" w:rsidRDefault="009820EE" w:rsidP="009820EE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市町村老人福祉計画及び介護保険事業計画と大阪府高齢者計画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9820EE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第２節 計画の基本理念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9820EE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第３節 計画の基本視点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人権の尊重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利用者本位の施策推進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地域包括ケアシステムの構築と人材の確保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 xml:space="preserve">) </w:t>
      </w:r>
      <w:r>
        <w:rPr>
          <w:rFonts w:hint="eastAsia"/>
        </w:rPr>
        <w:t>認知症施策の推進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 xml:space="preserve">) </w:t>
      </w:r>
      <w:r>
        <w:rPr>
          <w:rFonts w:hint="eastAsia"/>
        </w:rPr>
        <w:t>市町村による主体的な施策展開と府との連携強化</w:t>
      </w:r>
    </w:p>
    <w:p w:rsidR="009820EE" w:rsidRDefault="009820EE" w:rsidP="009820EE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</w:t>
      </w:r>
      <w:r>
        <w:rPr>
          <w:rFonts w:hint="eastAsia"/>
        </w:rPr>
        <w:t>介護保険制度を維持し、充実する取組み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 xml:space="preserve">第４節 計画の策定体制 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第５節 関係計画等との関係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第６節 計画期間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第７節 計画の進行管理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>第８節 高齢者福祉圏の設定</w:t>
      </w:r>
    </w:p>
    <w:p w:rsidR="009820EE" w:rsidRDefault="009820EE" w:rsidP="009820EE">
      <w:r>
        <w:rPr>
          <w:rFonts w:hint="eastAsia"/>
        </w:rPr>
        <w:t xml:space="preserve">　　第１項</w:t>
      </w:r>
      <w:r>
        <w:rPr>
          <w:rFonts w:hint="eastAsia"/>
        </w:rPr>
        <w:t xml:space="preserve"> </w:t>
      </w:r>
      <w:r>
        <w:rPr>
          <w:rFonts w:hint="eastAsia"/>
        </w:rPr>
        <w:t>高齢者福祉圏の考え方</w:t>
      </w:r>
    </w:p>
    <w:p w:rsidR="009820EE" w:rsidRDefault="009820EE" w:rsidP="009820EE">
      <w:r>
        <w:rPr>
          <w:rFonts w:hint="eastAsia"/>
        </w:rPr>
        <w:t xml:space="preserve">　　第２項</w:t>
      </w:r>
      <w:r>
        <w:rPr>
          <w:rFonts w:hint="eastAsia"/>
        </w:rPr>
        <w:t xml:space="preserve"> </w:t>
      </w:r>
      <w:r>
        <w:rPr>
          <w:rFonts w:hint="eastAsia"/>
        </w:rPr>
        <w:t>高齢者福祉圏の設定</w:t>
      </w:r>
    </w:p>
    <w:p w:rsidR="009820EE" w:rsidRDefault="009820EE" w:rsidP="009820EE">
      <w:r>
        <w:rPr>
          <w:rFonts w:hint="eastAsia"/>
        </w:rPr>
        <w:t xml:space="preserve">　　第３項</w:t>
      </w:r>
      <w:r>
        <w:rPr>
          <w:rFonts w:hint="eastAsia"/>
        </w:rPr>
        <w:t xml:space="preserve"> </w:t>
      </w:r>
      <w:r>
        <w:rPr>
          <w:rFonts w:hint="eastAsia"/>
        </w:rPr>
        <w:t>高齢者福祉圏ごとの調整</w:t>
      </w:r>
    </w:p>
    <w:p w:rsidR="009820EE" w:rsidRDefault="009820EE" w:rsidP="009820EE"/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第２章　高齢者の現状と将来推計</w:t>
      </w:r>
    </w:p>
    <w:p w:rsidR="009820EE" w:rsidRPr="0034403B" w:rsidRDefault="009820EE" w:rsidP="009820EE">
      <w:pPr>
        <w:rPr>
          <w:rFonts w:asciiTheme="majorEastAsia" w:eastAsiaTheme="majorEastAsia" w:hAnsiTheme="majorEastAsia"/>
          <w:u w:val="single"/>
        </w:rPr>
      </w:pPr>
      <w:r w:rsidRPr="0034403B">
        <w:rPr>
          <w:rFonts w:asciiTheme="majorEastAsia" w:eastAsiaTheme="majorEastAsia" w:hAnsiTheme="majorEastAsia" w:hint="eastAsia"/>
        </w:rPr>
        <w:t xml:space="preserve">　</w:t>
      </w:r>
      <w:r w:rsidRPr="0034403B">
        <w:rPr>
          <w:rFonts w:asciiTheme="majorEastAsia" w:eastAsiaTheme="majorEastAsia" w:hAnsiTheme="majorEastAsia" w:hint="eastAsia"/>
          <w:u w:val="single"/>
        </w:rPr>
        <w:t xml:space="preserve">第１節 高齢者の現状 </w:t>
      </w:r>
    </w:p>
    <w:p w:rsidR="009820EE" w:rsidRDefault="009820EE" w:rsidP="009820EE">
      <w:r>
        <w:rPr>
          <w:rFonts w:hint="eastAsia"/>
        </w:rPr>
        <w:t xml:space="preserve">　　第１項</w:t>
      </w:r>
      <w:r>
        <w:rPr>
          <w:rFonts w:hint="eastAsia"/>
        </w:rPr>
        <w:t xml:space="preserve"> </w:t>
      </w:r>
      <w:r>
        <w:rPr>
          <w:rFonts w:hint="eastAsia"/>
        </w:rPr>
        <w:t>人口構造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高齢化の要因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高齢者世帯の状況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>
        <w:rPr>
          <w:rFonts w:hint="eastAsia"/>
        </w:rPr>
        <w:t xml:space="preserve"> </w:t>
      </w:r>
      <w:r>
        <w:rPr>
          <w:rFonts w:hint="eastAsia"/>
        </w:rPr>
        <w:t>高齢者のいる一般世帯の住宅の状況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第５項</w:t>
      </w:r>
      <w:r>
        <w:rPr>
          <w:rFonts w:hint="eastAsia"/>
        </w:rPr>
        <w:t xml:space="preserve"> </w:t>
      </w:r>
      <w:r>
        <w:rPr>
          <w:rFonts w:hint="eastAsia"/>
        </w:rPr>
        <w:t>認知症高齢者の推計</w:t>
      </w:r>
    </w:p>
    <w:p w:rsidR="009820EE" w:rsidRDefault="009820EE" w:rsidP="009820EE"/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第３章  施策の推進方策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第１節 地域包括ケアシステム構築のための支援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地域包括支援センターの機能強化と地域ケア会議の充実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医療・介護連携の推進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地域の支え合い体制の整備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>
        <w:rPr>
          <w:rFonts w:hint="eastAsia"/>
        </w:rPr>
        <w:t xml:space="preserve"> </w:t>
      </w:r>
      <w:r>
        <w:rPr>
          <w:rFonts w:hint="eastAsia"/>
        </w:rPr>
        <w:t>地域における自立した日常生活の支援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第５項</w:t>
      </w:r>
      <w:r>
        <w:rPr>
          <w:rFonts w:hint="eastAsia"/>
        </w:rPr>
        <w:t xml:space="preserve"> </w:t>
      </w:r>
      <w:r>
        <w:rPr>
          <w:rFonts w:hint="eastAsia"/>
        </w:rPr>
        <w:t>権利擁護の推進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第２節 認知症高齢者等支援策の充実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医療との連携、認知症への早期対応の推進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認知症に対する理解の促進と支援体制の構築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認知症医療・介護の人材育成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第３節 安全、安心、快適に暮らせる住まいとまちづくり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住まいとまちづくりに関する施策の推進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災害時における高齢者支援体制の確立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第４節 健康づくり・生きがいづくり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新しい介護予防事業の実施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健康づくり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社会参加の促進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>
        <w:rPr>
          <w:rFonts w:hint="eastAsia"/>
        </w:rPr>
        <w:t xml:space="preserve"> </w:t>
      </w:r>
      <w:r>
        <w:rPr>
          <w:rFonts w:hint="eastAsia"/>
        </w:rPr>
        <w:t>雇用・就業対策の推進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第５節 利用者支援の推進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制度周知等の推進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相談・苦情解決体制の充実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個々の高齢者等の状況に配慮したサービスの提供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>
        <w:rPr>
          <w:rFonts w:hint="eastAsia"/>
        </w:rPr>
        <w:t xml:space="preserve"> </w:t>
      </w:r>
      <w:r>
        <w:rPr>
          <w:rFonts w:hint="eastAsia"/>
        </w:rPr>
        <w:t>不服申立ての審査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第６節 介護保険事業の適切な運営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適切な要介護認定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介護サービスの質の向上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サービス事業者への指導・助言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>
        <w:rPr>
          <w:rFonts w:hint="eastAsia"/>
        </w:rPr>
        <w:t xml:space="preserve"> </w:t>
      </w:r>
      <w:r>
        <w:rPr>
          <w:rFonts w:hint="eastAsia"/>
        </w:rPr>
        <w:t>介護保険制度の適切な運営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第５項</w:t>
      </w:r>
      <w:r>
        <w:rPr>
          <w:rFonts w:hint="eastAsia"/>
        </w:rPr>
        <w:t xml:space="preserve"> </w:t>
      </w:r>
      <w:r>
        <w:rPr>
          <w:rFonts w:hint="eastAsia"/>
        </w:rPr>
        <w:t>介護保険制度の持続可能性を高める取組み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第７節 福祉・介護サービス基盤の充実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居宅サービスの基盤の充実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地域密着型サービスの普及促進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第３項</w:t>
      </w:r>
      <w:r>
        <w:rPr>
          <w:rFonts w:hint="eastAsia"/>
        </w:rPr>
        <w:t xml:space="preserve"> </w:t>
      </w:r>
      <w:r>
        <w:rPr>
          <w:rFonts w:hint="eastAsia"/>
        </w:rPr>
        <w:t>施設基盤の充実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第４項</w:t>
      </w:r>
      <w:r w:rsidR="00F86700">
        <w:rPr>
          <w:rFonts w:hint="eastAsia"/>
        </w:rPr>
        <w:t xml:space="preserve"> </w:t>
      </w:r>
      <w:r>
        <w:rPr>
          <w:rFonts w:hint="eastAsia"/>
        </w:rPr>
        <w:t>在宅医療、看護、介護の人材の養成、確保</w:t>
      </w:r>
    </w:p>
    <w:p w:rsidR="009820EE" w:rsidRPr="00F86700" w:rsidRDefault="009820EE" w:rsidP="009820EE"/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第４章 介護サービス量の見込み及び必要入所（利用）定員総数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第１節 要支援・要介護認定者の将来推計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本計画における要支援・要介護認定者数の見込み方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要支援・要介護認定者数の将来推計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第２節 介護サービス量の見込み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第１項</w:t>
      </w:r>
      <w:r>
        <w:rPr>
          <w:rFonts w:hint="eastAsia"/>
        </w:rPr>
        <w:t xml:space="preserve"> </w:t>
      </w:r>
      <w:r>
        <w:rPr>
          <w:rFonts w:hint="eastAsia"/>
        </w:rPr>
        <w:t>本計画における介護サービス量の見込み方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介護サービスの種類ごとの量の見込み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居宅サービス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施設サービス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地域密着型サービス</w:t>
      </w:r>
    </w:p>
    <w:p w:rsidR="009820EE" w:rsidRDefault="0034403B" w:rsidP="009820EE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9820EE">
        <w:rPr>
          <w:rFonts w:hint="eastAsia"/>
        </w:rPr>
        <w:t>第３項</w:t>
      </w:r>
      <w:r w:rsidR="009820EE">
        <w:rPr>
          <w:rFonts w:hint="eastAsia"/>
        </w:rPr>
        <w:t xml:space="preserve"> </w:t>
      </w:r>
      <w:r w:rsidR="009820EE">
        <w:rPr>
          <w:rFonts w:hint="eastAsia"/>
        </w:rPr>
        <w:t>施設・居住系サービス・地域密着型サービスの必要入所（利用）定員総数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介護保険施設の必要入所定員総数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特定施設入居者生活介護の必要利用定員総数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地域密着型サービスに係る必要利用定員総数</w:t>
      </w:r>
    </w:p>
    <w:p w:rsidR="009820EE" w:rsidRDefault="009820EE" w:rsidP="009820EE">
      <w:r>
        <w:rPr>
          <w:rFonts w:hint="eastAsia"/>
        </w:rPr>
        <w:t xml:space="preserve">     (</w:t>
      </w:r>
      <w:r>
        <w:rPr>
          <w:rFonts w:hint="eastAsia"/>
        </w:rPr>
        <w:t>４</w:t>
      </w:r>
      <w:r>
        <w:rPr>
          <w:rFonts w:hint="eastAsia"/>
        </w:rPr>
        <w:t xml:space="preserve">) </w:t>
      </w:r>
      <w:r>
        <w:rPr>
          <w:rFonts w:hint="eastAsia"/>
        </w:rPr>
        <w:t>介護保険以外の施設サービスの整備目標</w:t>
      </w:r>
    </w:p>
    <w:p w:rsidR="009820EE" w:rsidRDefault="009820EE" w:rsidP="009820EE"/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第５章  大阪府高齢者計画2012の検証</w:t>
      </w:r>
    </w:p>
    <w:p w:rsidR="009820EE" w:rsidRDefault="009820EE" w:rsidP="009820EE">
      <w:r>
        <w:rPr>
          <w:rFonts w:hint="eastAsia"/>
        </w:rPr>
        <w:t xml:space="preserve"> </w:t>
      </w:r>
      <w:r w:rsidR="00600AFC"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省略）</w:t>
      </w:r>
    </w:p>
    <w:p w:rsidR="009820EE" w:rsidRDefault="009820EE" w:rsidP="009820EE"/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00A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第６章 計画の推進に向けて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　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第１節 計画の推進体制</w:t>
      </w:r>
    </w:p>
    <w:p w:rsidR="009820EE" w:rsidRDefault="009820EE" w:rsidP="009820EE">
      <w:r>
        <w:rPr>
          <w:rFonts w:hint="eastAsia"/>
        </w:rPr>
        <w:t xml:space="preserve">　　第１項</w:t>
      </w:r>
      <w:r>
        <w:rPr>
          <w:rFonts w:hint="eastAsia"/>
        </w:rPr>
        <w:t xml:space="preserve"> </w:t>
      </w:r>
      <w:r>
        <w:rPr>
          <w:rFonts w:hint="eastAsia"/>
        </w:rPr>
        <w:t>府の推進体制</w:t>
      </w:r>
    </w:p>
    <w:p w:rsidR="009820EE" w:rsidRDefault="009820EE" w:rsidP="009820EE">
      <w:r>
        <w:rPr>
          <w:rFonts w:hint="eastAsia"/>
        </w:rPr>
        <w:t xml:space="preserve">    </w:t>
      </w:r>
      <w:r>
        <w:rPr>
          <w:rFonts w:hint="eastAsia"/>
        </w:rPr>
        <w:t>第２項</w:t>
      </w:r>
      <w:r>
        <w:rPr>
          <w:rFonts w:hint="eastAsia"/>
        </w:rPr>
        <w:t xml:space="preserve"> </w:t>
      </w:r>
      <w:r>
        <w:rPr>
          <w:rFonts w:hint="eastAsia"/>
        </w:rPr>
        <w:t>市町村・関係機関、地域住民等との連携</w:t>
      </w:r>
    </w:p>
    <w:p w:rsidR="009820EE" w:rsidRPr="00600AFC" w:rsidRDefault="009820EE" w:rsidP="009820EE">
      <w:pPr>
        <w:rPr>
          <w:rFonts w:asciiTheme="majorEastAsia" w:eastAsiaTheme="majorEastAsia" w:hAnsiTheme="majorEastAsia"/>
          <w:sz w:val="24"/>
          <w:u w:val="single"/>
        </w:rPr>
      </w:pPr>
      <w:r w:rsidRPr="00600AFC">
        <w:rPr>
          <w:rFonts w:asciiTheme="majorEastAsia" w:eastAsiaTheme="majorEastAsia" w:hAnsiTheme="majorEastAsia" w:hint="eastAsia"/>
          <w:sz w:val="24"/>
        </w:rPr>
        <w:t xml:space="preserve">  </w:t>
      </w:r>
      <w:r w:rsidRPr="00600AFC">
        <w:rPr>
          <w:rFonts w:asciiTheme="majorEastAsia" w:eastAsiaTheme="majorEastAsia" w:hAnsiTheme="majorEastAsia" w:hint="eastAsia"/>
          <w:sz w:val="24"/>
          <w:u w:val="single"/>
        </w:rPr>
        <w:t>第２節 市町村への支援・助言</w:t>
      </w:r>
    </w:p>
    <w:sectPr w:rsidR="009820EE" w:rsidRPr="00600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88" w:rsidRDefault="00066E88" w:rsidP="00066E88">
      <w:r>
        <w:separator/>
      </w:r>
    </w:p>
  </w:endnote>
  <w:endnote w:type="continuationSeparator" w:id="0">
    <w:p w:rsidR="00066E88" w:rsidRDefault="00066E88" w:rsidP="0006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88" w:rsidRDefault="00066E88" w:rsidP="00066E88">
      <w:r>
        <w:separator/>
      </w:r>
    </w:p>
  </w:footnote>
  <w:footnote w:type="continuationSeparator" w:id="0">
    <w:p w:rsidR="00066E88" w:rsidRDefault="00066E88" w:rsidP="0006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2A"/>
    <w:multiLevelType w:val="hybridMultilevel"/>
    <w:tmpl w:val="5D502DB0"/>
    <w:lvl w:ilvl="0" w:tplc="DC3C92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DB0204"/>
    <w:multiLevelType w:val="hybridMultilevel"/>
    <w:tmpl w:val="2D0A42FA"/>
    <w:lvl w:ilvl="0" w:tplc="243A2B1C">
      <w:start w:val="3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486D4FC5"/>
    <w:multiLevelType w:val="hybridMultilevel"/>
    <w:tmpl w:val="50C87DE2"/>
    <w:lvl w:ilvl="0" w:tplc="63E26FEC">
      <w:start w:val="3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>
    <w:nsid w:val="7380353A"/>
    <w:multiLevelType w:val="hybridMultilevel"/>
    <w:tmpl w:val="AAA89FB2"/>
    <w:lvl w:ilvl="0" w:tplc="DBF019AE">
      <w:start w:val="3"/>
      <w:numFmt w:val="bullet"/>
      <w:lvlText w:val="・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75923244"/>
    <w:multiLevelType w:val="hybridMultilevel"/>
    <w:tmpl w:val="C1D69FB8"/>
    <w:lvl w:ilvl="0" w:tplc="3CA268A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E"/>
    <w:rsid w:val="00066E88"/>
    <w:rsid w:val="00095A83"/>
    <w:rsid w:val="00182471"/>
    <w:rsid w:val="0034403B"/>
    <w:rsid w:val="004211B6"/>
    <w:rsid w:val="00600AFC"/>
    <w:rsid w:val="009820EE"/>
    <w:rsid w:val="009E1231"/>
    <w:rsid w:val="00BF4BC6"/>
    <w:rsid w:val="00F8670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6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E88"/>
  </w:style>
  <w:style w:type="paragraph" w:styleId="a8">
    <w:name w:val="footer"/>
    <w:basedOn w:val="a"/>
    <w:link w:val="a9"/>
    <w:uiPriority w:val="99"/>
    <w:unhideWhenUsed/>
    <w:rsid w:val="00066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6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E88"/>
  </w:style>
  <w:style w:type="paragraph" w:styleId="a8">
    <w:name w:val="footer"/>
    <w:basedOn w:val="a"/>
    <w:link w:val="a9"/>
    <w:uiPriority w:val="99"/>
    <w:unhideWhenUsed/>
    <w:rsid w:val="00066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5</cp:revision>
  <cp:lastPrinted>2017-02-03T04:21:00Z</cp:lastPrinted>
  <dcterms:created xsi:type="dcterms:W3CDTF">2017-02-03T04:29:00Z</dcterms:created>
  <dcterms:modified xsi:type="dcterms:W3CDTF">2017-02-16T07:29:00Z</dcterms:modified>
</cp:coreProperties>
</file>