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7782" w14:textId="093AFA24" w:rsidR="00387576" w:rsidRPr="001B0C72" w:rsidRDefault="003D4FD8" w:rsidP="00387576">
      <w:pPr>
        <w:jc w:val="center"/>
        <w:rPr>
          <w:rFonts w:ascii="ＭＳ ゴシック" w:eastAsia="ＭＳ ゴシック" w:hAnsi="ＭＳ ゴシック"/>
          <w:sz w:val="32"/>
          <w:szCs w:val="32"/>
          <w:lang w:eastAsia="zh-CN"/>
        </w:rPr>
      </w:pPr>
      <w:r w:rsidRPr="003D4FD8">
        <w:rPr>
          <w:rFonts w:ascii="ＭＳ ゴシック" w:eastAsia="ＭＳ ゴシック" w:hAnsi="ＭＳ ゴシック"/>
          <w:noProof/>
          <w:sz w:val="32"/>
          <w:szCs w:val="32"/>
        </w:rPr>
        <mc:AlternateContent>
          <mc:Choice Requires="wps">
            <w:drawing>
              <wp:anchor distT="45720" distB="45720" distL="114300" distR="114300" simplePos="0" relativeHeight="251659264" behindDoc="1" locked="0" layoutInCell="1" allowOverlap="1" wp14:anchorId="369AFB6A" wp14:editId="6B7F7DBC">
                <wp:simplePos x="0" y="0"/>
                <wp:positionH relativeFrom="column">
                  <wp:posOffset>4794885</wp:posOffset>
                </wp:positionH>
                <wp:positionV relativeFrom="paragraph">
                  <wp:posOffset>-458470</wp:posOffset>
                </wp:positionV>
                <wp:extent cx="822960" cy="527050"/>
                <wp:effectExtent l="0" t="0" r="1524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27050"/>
                        </a:xfrm>
                        <a:prstGeom prst="rect">
                          <a:avLst/>
                        </a:prstGeom>
                        <a:solidFill>
                          <a:srgbClr val="FFFFFF"/>
                        </a:solidFill>
                        <a:ln w="9525">
                          <a:solidFill>
                            <a:srgbClr val="000000"/>
                          </a:solidFill>
                          <a:miter lim="800000"/>
                          <a:headEnd/>
                          <a:tailEnd/>
                        </a:ln>
                      </wps:spPr>
                      <wps:txbx>
                        <w:txbxContent>
                          <w:p w14:paraId="768D733D" w14:textId="06E3E47D" w:rsidR="003D4FD8" w:rsidRPr="003D4FD8" w:rsidRDefault="003D4FD8">
                            <w:pPr>
                              <w:rPr>
                                <w:rFonts w:ascii="ＭＳ ゴシック" w:eastAsia="ＭＳ ゴシック" w:hAnsi="ＭＳ ゴシック"/>
                                <w:sz w:val="32"/>
                                <w:szCs w:val="36"/>
                              </w:rPr>
                            </w:pPr>
                            <w:r w:rsidRPr="003D4FD8">
                              <w:rPr>
                                <w:rFonts w:ascii="ＭＳ ゴシック" w:eastAsia="ＭＳ ゴシック" w:hAnsi="ＭＳ ゴシック" w:hint="eastAsia"/>
                                <w:sz w:val="32"/>
                                <w:szCs w:val="36"/>
                              </w:rPr>
                              <w:t>資料４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69AFB6A" id="_x0000_t202" coordsize="21600,21600" o:spt="202" path="m,l,21600r21600,l21600,xe">
                <v:stroke joinstyle="miter"/>
                <v:path gradientshapeok="t" o:connecttype="rect"/>
              </v:shapetype>
              <v:shape id="テキスト ボックス 2" o:spid="_x0000_s1026" type="#_x0000_t202" style="position:absolute;left:0;text-align:left;margin-left:377.55pt;margin-top:-36.1pt;width:64.8pt;height:4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">
                <v:textbox>
                  <w:txbxContent>
                    <w:p w14:paraId="768D733D" w14:textId="06E3E47D" w:rsidR="003D4FD8" w:rsidRPr="003D4FD8" w:rsidRDefault="003D4FD8">
                      <w:pPr>
                        <w:rPr>
                          <w:rFonts w:ascii="ＭＳ ゴシック" w:eastAsia="ＭＳ ゴシック" w:hAnsi="ＭＳ ゴシック"/>
                          <w:sz w:val="32"/>
                          <w:szCs w:val="36"/>
                        </w:rPr>
                      </w:pPr>
                      <w:r w:rsidRPr="003D4FD8">
                        <w:rPr>
                          <w:rFonts w:ascii="ＭＳ ゴシック" w:eastAsia="ＭＳ ゴシック" w:hAnsi="ＭＳ ゴシック" w:hint="eastAsia"/>
                          <w:sz w:val="32"/>
                          <w:szCs w:val="36"/>
                        </w:rPr>
                        <w:t>資料４</w:t>
                      </w:r>
                    </w:p>
                  </w:txbxContent>
                </v:textbox>
              </v:shape>
            </w:pict>
          </mc:Fallback>
        </mc:AlternateContent>
      </w:r>
      <w:r w:rsidR="00A57660">
        <w:rPr>
          <w:rFonts w:ascii="ＭＳ ゴシック" w:eastAsia="ＭＳ ゴシック" w:hAnsi="ＭＳ ゴシック" w:hint="eastAsia"/>
          <w:sz w:val="32"/>
          <w:szCs w:val="32"/>
          <w:lang w:eastAsia="zh-CN"/>
        </w:rPr>
        <w:t>文化芸術</w:t>
      </w:r>
      <w:r w:rsidR="00387576" w:rsidRPr="001B0C72">
        <w:rPr>
          <w:rFonts w:ascii="ＭＳ ゴシック" w:eastAsia="ＭＳ ゴシック" w:hAnsi="ＭＳ ゴシック" w:hint="eastAsia"/>
          <w:sz w:val="32"/>
          <w:szCs w:val="32"/>
          <w:lang w:eastAsia="zh-CN"/>
        </w:rPr>
        <w:t>部会意見具申（案）</w:t>
      </w:r>
    </w:p>
    <w:p w14:paraId="58226601" w14:textId="77777777" w:rsidR="0038267C" w:rsidRDefault="0038267C" w:rsidP="0038267C">
      <w:pPr>
        <w:rPr>
          <w:lang w:eastAsia="zh-CN"/>
        </w:rPr>
      </w:pPr>
    </w:p>
    <w:p w14:paraId="22255DA0" w14:textId="371FC056" w:rsidR="0038267C" w:rsidRDefault="0038267C" w:rsidP="0038267C">
      <w:r>
        <w:rPr>
          <w:rFonts w:hint="eastAsia"/>
        </w:rPr>
        <w:t>○</w:t>
      </w:r>
      <w:r>
        <w:t xml:space="preserve"> 大阪府においては、平成13年度以降、国の障がい者文化芸術拠点であるビッグ・アイ等との連携のもと、障がい者の文化芸術活動を支援する取組を継続的に実施し、幅広いネットワークの構築や多様なノウハウの蓄積を図ってきた。</w:t>
      </w:r>
    </w:p>
    <w:p w14:paraId="0E858537" w14:textId="77777777" w:rsidR="0038267C" w:rsidRDefault="0038267C" w:rsidP="0038267C"/>
    <w:p w14:paraId="33544A66" w14:textId="414812F8" w:rsidR="0038267C" w:rsidRDefault="0038267C" w:rsidP="0038267C">
      <w:r>
        <w:rPr>
          <w:rFonts w:hint="eastAsia"/>
        </w:rPr>
        <w:t>○</w:t>
      </w:r>
      <w:r>
        <w:t xml:space="preserve"> </w:t>
      </w:r>
      <w:r w:rsidR="003D4FD8">
        <w:rPr>
          <w:rFonts w:hint="eastAsia"/>
        </w:rPr>
        <w:t>具体的には</w:t>
      </w:r>
      <w:r>
        <w:t>、「障がい者舞台芸術オープンカレッジ」や「障がい者アート企画展 about me」「障がい者アート作品販売等支援 capacious」など、先駆性・質の高い事業が展開されるとともに、府内において全国を代表する独創性の高い活動を行う民間事業者やアーティストが数多く育成されてきた。</w:t>
      </w:r>
    </w:p>
    <w:p w14:paraId="43B70678" w14:textId="77777777" w:rsidR="0038267C" w:rsidRDefault="0038267C" w:rsidP="0038267C"/>
    <w:p w14:paraId="5F7FF425" w14:textId="20CDDE6A" w:rsidR="0038267C" w:rsidRDefault="0038267C" w:rsidP="0038267C">
      <w:r>
        <w:rPr>
          <w:rFonts w:hint="eastAsia"/>
        </w:rPr>
        <w:t>○</w:t>
      </w:r>
      <w:r>
        <w:t xml:space="preserve"> さらに、令和6年3月には、第5次大阪府障がい者計画の中間見直しにおいて、「障がい者文化芸術に係る大阪計画」が追記され、</w:t>
      </w:r>
      <w:r>
        <w:rPr>
          <w:rFonts w:hint="eastAsia"/>
        </w:rPr>
        <w:t>障がい者による文化芸術活動の推進に関する法律第8条第１項に規定する地方自治体が策定する「障がい者による文化芸術活動の推進に関する計画</w:t>
      </w:r>
      <w:r w:rsidR="00165570">
        <w:rPr>
          <w:rFonts w:hint="eastAsia"/>
        </w:rPr>
        <w:t>」</w:t>
      </w:r>
      <w:r>
        <w:rPr>
          <w:rFonts w:hint="eastAsia"/>
        </w:rPr>
        <w:t>に</w:t>
      </w:r>
      <w:r>
        <w:t>位置づけられたところである。</w:t>
      </w:r>
    </w:p>
    <w:p w14:paraId="4AC62561" w14:textId="77777777" w:rsidR="0038267C" w:rsidRDefault="0038267C" w:rsidP="0038267C"/>
    <w:p w14:paraId="2E94D055" w14:textId="40CCDB87" w:rsidR="0038267C" w:rsidRDefault="0038267C" w:rsidP="0038267C">
      <w:r>
        <w:rPr>
          <w:rFonts w:hint="eastAsia"/>
        </w:rPr>
        <w:t>○</w:t>
      </w:r>
      <w:r>
        <w:t xml:space="preserve"> こうした</w:t>
      </w:r>
      <w:r w:rsidR="003D4FD8">
        <w:rPr>
          <w:rFonts w:hint="eastAsia"/>
        </w:rPr>
        <w:t>経過</w:t>
      </w:r>
      <w:r>
        <w:t>を踏まえ、第6次大阪府障がい者計画の策定にあたって</w:t>
      </w:r>
      <w:r w:rsidR="003D4FD8">
        <w:rPr>
          <w:rFonts w:hint="eastAsia"/>
        </w:rPr>
        <w:t>は</w:t>
      </w:r>
      <w:r>
        <w:t>、これまでの取組を着実に継承・深化させるとともに、</w:t>
      </w:r>
    </w:p>
    <w:p w14:paraId="5E6D260B" w14:textId="5F58CA82" w:rsidR="0038267C" w:rsidRDefault="0038267C" w:rsidP="0038267C">
      <w:r>
        <w:rPr>
          <w:rFonts w:hint="eastAsia"/>
        </w:rPr>
        <w:t>•</w:t>
      </w:r>
      <w:r>
        <w:t>2025年に開催され</w:t>
      </w:r>
      <w:r w:rsidR="00165570">
        <w:rPr>
          <w:rFonts w:hint="eastAsia"/>
        </w:rPr>
        <w:t>た</w:t>
      </w:r>
      <w:r>
        <w:t>大阪</w:t>
      </w:r>
      <w:r w:rsidR="005010D8">
        <w:rPr>
          <w:rFonts w:hint="eastAsia"/>
        </w:rPr>
        <w:t>・関西</w:t>
      </w:r>
      <w:r>
        <w:t>万博</w:t>
      </w:r>
      <w:r w:rsidR="00165570">
        <w:rPr>
          <w:rFonts w:hint="eastAsia"/>
        </w:rPr>
        <w:t>で行った</w:t>
      </w:r>
      <w:r>
        <w:t>共生社会の理念を具体的に示す実証の場とし</w:t>
      </w:r>
      <w:r w:rsidR="00165570">
        <w:rPr>
          <w:rFonts w:hint="eastAsia"/>
        </w:rPr>
        <w:t>ての取組をはじめとして、数々の</w:t>
      </w:r>
      <w:r>
        <w:t>成果を万博後も府内にレガシーとして定着させること</w:t>
      </w:r>
    </w:p>
    <w:p w14:paraId="1C5955DB" w14:textId="0E0EA2C3" w:rsidR="0038267C" w:rsidRDefault="0038267C" w:rsidP="0038267C">
      <w:r>
        <w:rPr>
          <w:rFonts w:hint="eastAsia"/>
        </w:rPr>
        <w:t>•</w:t>
      </w:r>
      <w:r>
        <w:t>東京2025デフリンピックの開催</w:t>
      </w:r>
      <w:r>
        <w:rPr>
          <w:rFonts w:hint="eastAsia"/>
        </w:rPr>
        <w:t>や手話施策推進法の成立</w:t>
      </w:r>
      <w:r>
        <w:t>を契機とした、ろう文化や手話言語に対する社会的理解の高まり</w:t>
      </w:r>
      <w:r w:rsidR="00165570">
        <w:rPr>
          <w:rFonts w:hint="eastAsia"/>
        </w:rPr>
        <w:t>を継続させ、定着させること</w:t>
      </w:r>
    </w:p>
    <w:p w14:paraId="67CEDEF5" w14:textId="1C866E2C" w:rsidR="003D4FD8" w:rsidRDefault="003D4FD8" w:rsidP="003D4FD8">
      <w:r>
        <w:rPr>
          <w:rFonts w:hint="eastAsia"/>
        </w:rPr>
        <w:t>といった</w:t>
      </w:r>
      <w:r>
        <w:t>社会的動向を踏まえた施策展開が必要である。</w:t>
      </w:r>
    </w:p>
    <w:p w14:paraId="3902767A" w14:textId="77777777" w:rsidR="0038267C" w:rsidRDefault="0038267C" w:rsidP="0038267C"/>
    <w:p w14:paraId="2E87F8E5" w14:textId="470FE944" w:rsidR="0038267C" w:rsidRDefault="0038267C" w:rsidP="0038267C">
      <w:r>
        <w:rPr>
          <w:rFonts w:hint="eastAsia"/>
        </w:rPr>
        <w:t>○</w:t>
      </w:r>
      <w:r>
        <w:t xml:space="preserve"> </w:t>
      </w:r>
      <w:r w:rsidR="003D4FD8">
        <w:rPr>
          <w:rFonts w:hint="eastAsia"/>
        </w:rPr>
        <w:t>また</w:t>
      </w:r>
      <w:r>
        <w:t>、今後の障がい者文化芸術施策</w:t>
      </w:r>
      <w:r w:rsidR="003D4FD8">
        <w:rPr>
          <w:rFonts w:hint="eastAsia"/>
        </w:rPr>
        <w:t>の検討にあたっては</w:t>
      </w:r>
      <w:r>
        <w:t>、主体性を最大限尊重しながら、</w:t>
      </w:r>
    </w:p>
    <w:p w14:paraId="69A3D2AB" w14:textId="7B5270DF" w:rsidR="0038267C" w:rsidRDefault="0038267C" w:rsidP="0038267C">
      <w:r>
        <w:rPr>
          <w:rFonts w:hint="eastAsia"/>
        </w:rPr>
        <w:t>•</w:t>
      </w:r>
      <w:r>
        <w:t>誰もが参画できる創作・表現・発表の「場・機会」の創出</w:t>
      </w:r>
    </w:p>
    <w:p w14:paraId="4CD5E0BB" w14:textId="4628F93B" w:rsidR="0038267C" w:rsidRPr="00D26F56" w:rsidRDefault="0038267C" w:rsidP="0038267C">
      <w:pPr>
        <w:rPr>
          <w:color w:val="000000" w:themeColor="text1"/>
        </w:rPr>
      </w:pPr>
      <w:r>
        <w:rPr>
          <w:rFonts w:hint="eastAsia"/>
        </w:rPr>
        <w:t>•</w:t>
      </w:r>
      <w:r>
        <w:t>障がい者の主体</w:t>
      </w:r>
      <w:r w:rsidRPr="00D26F56">
        <w:rPr>
          <w:color w:val="000000" w:themeColor="text1"/>
        </w:rPr>
        <w:t>的活動を</w:t>
      </w:r>
      <w:r w:rsidR="002F1482" w:rsidRPr="00D26F56">
        <w:rPr>
          <w:rFonts w:hint="eastAsia"/>
          <w:color w:val="000000" w:themeColor="text1"/>
        </w:rPr>
        <w:t>文化芸術と福祉の両面から</w:t>
      </w:r>
      <w:r w:rsidRPr="00D26F56">
        <w:rPr>
          <w:color w:val="000000" w:themeColor="text1"/>
        </w:rPr>
        <w:t>支える伴走型人材の育成</w:t>
      </w:r>
    </w:p>
    <w:p w14:paraId="441B5461" w14:textId="48C60B83" w:rsidR="0038267C" w:rsidRPr="00D26F56" w:rsidRDefault="0038267C" w:rsidP="0038267C">
      <w:pPr>
        <w:rPr>
          <w:color w:val="000000" w:themeColor="text1"/>
        </w:rPr>
      </w:pPr>
      <w:r w:rsidRPr="00D26F56">
        <w:rPr>
          <w:rFonts w:hint="eastAsia"/>
          <w:color w:val="000000" w:themeColor="text1"/>
        </w:rPr>
        <w:t>•</w:t>
      </w:r>
      <w:r w:rsidRPr="00D26F56">
        <w:rPr>
          <w:color w:val="000000" w:themeColor="text1"/>
        </w:rPr>
        <w:t>芸術的・社会的評価が</w:t>
      </w:r>
      <w:r w:rsidR="001D1E74" w:rsidRPr="00D26F56">
        <w:rPr>
          <w:color w:val="000000" w:themeColor="text1"/>
        </w:rPr>
        <w:t>市場において</w:t>
      </w:r>
      <w:r w:rsidR="004F4FC7" w:rsidRPr="00D26F56">
        <w:rPr>
          <w:rFonts w:hint="eastAsia"/>
          <w:color w:val="000000" w:themeColor="text1"/>
        </w:rPr>
        <w:t>も</w:t>
      </w:r>
      <w:r w:rsidRPr="00D26F56">
        <w:rPr>
          <w:color w:val="000000" w:themeColor="text1"/>
        </w:rPr>
        <w:t>適正に行われる環境づくり</w:t>
      </w:r>
    </w:p>
    <w:p w14:paraId="57B4523A" w14:textId="77777777" w:rsidR="0038267C" w:rsidRPr="00D26F56" w:rsidRDefault="0038267C" w:rsidP="0038267C">
      <w:pPr>
        <w:rPr>
          <w:color w:val="000000" w:themeColor="text1"/>
        </w:rPr>
      </w:pPr>
      <w:r w:rsidRPr="00D26F56">
        <w:rPr>
          <w:rFonts w:hint="eastAsia"/>
          <w:color w:val="000000" w:themeColor="text1"/>
        </w:rPr>
        <w:t>を引き続き推進するとともに、言語や感覚の多様性を前提とした文化芸術の在り方を計画的・制度的に展開していくことが重要である。</w:t>
      </w:r>
    </w:p>
    <w:p w14:paraId="3BC363D2" w14:textId="77777777" w:rsidR="0038267C" w:rsidRPr="00D26F56" w:rsidRDefault="0038267C" w:rsidP="0038267C">
      <w:pPr>
        <w:rPr>
          <w:color w:val="000000" w:themeColor="text1"/>
        </w:rPr>
      </w:pPr>
    </w:p>
    <w:p w14:paraId="51D94694" w14:textId="30220D92" w:rsidR="0038267C" w:rsidRDefault="0038267C" w:rsidP="0038267C">
      <w:r w:rsidRPr="00D26F56">
        <w:rPr>
          <w:rFonts w:hint="eastAsia"/>
          <w:color w:val="000000" w:themeColor="text1"/>
        </w:rPr>
        <w:t>○</w:t>
      </w:r>
      <w:r w:rsidRPr="00D26F56">
        <w:rPr>
          <w:color w:val="000000" w:themeColor="text1"/>
        </w:rPr>
        <w:t xml:space="preserve"> </w:t>
      </w:r>
      <w:r w:rsidR="003D4FD8" w:rsidRPr="00D26F56">
        <w:rPr>
          <w:rFonts w:hint="eastAsia"/>
          <w:color w:val="000000" w:themeColor="text1"/>
        </w:rPr>
        <w:t>さらに</w:t>
      </w:r>
      <w:r w:rsidRPr="00D26F56">
        <w:rPr>
          <w:color w:val="000000" w:themeColor="text1"/>
        </w:rPr>
        <w:t>、これらの取組を担う多様な主体が相互につながり、継続的に活動できるよう、</w:t>
      </w:r>
      <w:r w:rsidR="009F7530" w:rsidRPr="00D26F56">
        <w:rPr>
          <w:rFonts w:hint="eastAsia"/>
          <w:color w:val="000000" w:themeColor="text1"/>
        </w:rPr>
        <w:t>相談・伴走・連携調整といった</w:t>
      </w:r>
      <w:r w:rsidRPr="00D26F56">
        <w:rPr>
          <w:color w:val="000000" w:themeColor="text1"/>
        </w:rPr>
        <w:t>中間支援の機能を強化し、府の施策と民間事業者・アーティスト等の取組が「仕組み」とし</w:t>
      </w:r>
      <w:r>
        <w:t>て連携する環境づくりを進めることが求められる。</w:t>
      </w:r>
    </w:p>
    <w:p w14:paraId="54A30DA5" w14:textId="77777777" w:rsidR="00165570" w:rsidRDefault="00165570" w:rsidP="0038267C"/>
    <w:p w14:paraId="2798A6EA" w14:textId="3B47032A" w:rsidR="0038267C" w:rsidRDefault="0038267C">
      <w:r>
        <w:rPr>
          <w:rFonts w:hint="eastAsia"/>
        </w:rPr>
        <w:t>○</w:t>
      </w:r>
      <w:r>
        <w:t xml:space="preserve"> これらの取組を通じて、文化芸術を媒介として障がい者が主体的に社会に参画できる環境を整備するとともに、障がいのある</w:t>
      </w:r>
      <w:r w:rsidR="00165570">
        <w:rPr>
          <w:rFonts w:hint="eastAsia"/>
        </w:rPr>
        <w:t>、</w:t>
      </w:r>
      <w:r>
        <w:t>な</w:t>
      </w:r>
      <w:r w:rsidR="00165570">
        <w:rPr>
          <w:rFonts w:hint="eastAsia"/>
        </w:rPr>
        <w:t>し</w:t>
      </w:r>
      <w:r>
        <w:t>を超えた共生社会の実現を</w:t>
      </w:r>
      <w:r w:rsidR="00FC1D2B">
        <w:rPr>
          <w:rFonts w:hint="eastAsia"/>
        </w:rPr>
        <w:t>めざ</w:t>
      </w:r>
      <w:r>
        <w:t>すべきである。</w:t>
      </w:r>
    </w:p>
    <w:p w14:paraId="59BFD86B" w14:textId="77777777" w:rsidR="003D4FD8" w:rsidRDefault="003D4FD8"/>
    <w:p w14:paraId="37AA5B60" w14:textId="3EC82AA9" w:rsidR="003D4FD8" w:rsidRPr="0038267C" w:rsidRDefault="003D4FD8">
      <w:r>
        <w:rPr>
          <w:rFonts w:hint="eastAsia"/>
        </w:rPr>
        <w:t>〇 なお、前述の</w:t>
      </w:r>
      <w:r>
        <w:t>「障がい者文化芸術に係る大阪計画」</w:t>
      </w:r>
      <w:r>
        <w:rPr>
          <w:rFonts w:hint="eastAsia"/>
        </w:rPr>
        <w:t>については、次</w:t>
      </w:r>
      <w:r w:rsidR="005346A7">
        <w:rPr>
          <w:rFonts w:hint="eastAsia"/>
        </w:rPr>
        <w:t>期</w:t>
      </w:r>
      <w:r>
        <w:rPr>
          <w:rFonts w:hint="eastAsia"/>
        </w:rPr>
        <w:t>計画においても、引き続き「障がい者による文化芸術活動の推進に関する計画」に位置づけられたい。</w:t>
      </w:r>
    </w:p>
    <w:sectPr w:rsidR="003D4FD8" w:rsidRPr="0038267C" w:rsidSect="005346A7">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EAA6" w14:textId="77777777" w:rsidR="00FF30E1" w:rsidRDefault="00FF30E1" w:rsidP="00165570">
      <w:r>
        <w:separator/>
      </w:r>
    </w:p>
  </w:endnote>
  <w:endnote w:type="continuationSeparator" w:id="0">
    <w:p w14:paraId="04FC3322" w14:textId="77777777" w:rsidR="00FF30E1" w:rsidRDefault="00FF30E1" w:rsidP="0016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A2F9" w14:textId="77777777" w:rsidR="00FF30E1" w:rsidRDefault="00FF30E1" w:rsidP="00165570">
      <w:r>
        <w:separator/>
      </w:r>
    </w:p>
  </w:footnote>
  <w:footnote w:type="continuationSeparator" w:id="0">
    <w:p w14:paraId="6204EEC5" w14:textId="77777777" w:rsidR="00FF30E1" w:rsidRDefault="00FF30E1" w:rsidP="00165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7C"/>
    <w:rsid w:val="00136D5E"/>
    <w:rsid w:val="00165570"/>
    <w:rsid w:val="001D1E74"/>
    <w:rsid w:val="001F3165"/>
    <w:rsid w:val="002F1482"/>
    <w:rsid w:val="0038267C"/>
    <w:rsid w:val="00387576"/>
    <w:rsid w:val="003D4FD8"/>
    <w:rsid w:val="004F4FC7"/>
    <w:rsid w:val="005010D8"/>
    <w:rsid w:val="005346A7"/>
    <w:rsid w:val="00901C7B"/>
    <w:rsid w:val="009F7530"/>
    <w:rsid w:val="00A57660"/>
    <w:rsid w:val="00C83374"/>
    <w:rsid w:val="00D26F56"/>
    <w:rsid w:val="00E806EE"/>
    <w:rsid w:val="00FC1D2B"/>
    <w:rsid w:val="00FF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57A9B"/>
  <w15:chartTrackingRefBased/>
  <w15:docId w15:val="{99470E23-430A-4C16-BD2D-E8FA5264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570"/>
    <w:pPr>
      <w:tabs>
        <w:tab w:val="center" w:pos="4252"/>
        <w:tab w:val="right" w:pos="8504"/>
      </w:tabs>
      <w:snapToGrid w:val="0"/>
    </w:pPr>
  </w:style>
  <w:style w:type="character" w:customStyle="1" w:styleId="a4">
    <w:name w:val="ヘッダー (文字)"/>
    <w:basedOn w:val="a0"/>
    <w:link w:val="a3"/>
    <w:uiPriority w:val="99"/>
    <w:rsid w:val="00165570"/>
  </w:style>
  <w:style w:type="paragraph" w:styleId="a5">
    <w:name w:val="footer"/>
    <w:basedOn w:val="a"/>
    <w:link w:val="a6"/>
    <w:uiPriority w:val="99"/>
    <w:unhideWhenUsed/>
    <w:rsid w:val="00165570"/>
    <w:pPr>
      <w:tabs>
        <w:tab w:val="center" w:pos="4252"/>
        <w:tab w:val="right" w:pos="8504"/>
      </w:tabs>
      <w:snapToGrid w:val="0"/>
    </w:pPr>
  </w:style>
  <w:style w:type="character" w:customStyle="1" w:styleId="a6">
    <w:name w:val="フッター (文字)"/>
    <w:basedOn w:val="a0"/>
    <w:link w:val="a5"/>
    <w:uiPriority w:val="99"/>
    <w:rsid w:val="00165570"/>
  </w:style>
  <w:style w:type="paragraph" w:styleId="a7">
    <w:name w:val="Revision"/>
    <w:hidden/>
    <w:uiPriority w:val="99"/>
    <w:semiHidden/>
    <w:rsid w:val="002F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8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今仲　昭喜</dc:creator>
  <cp:keywords/>
  <dc:description/>
  <cp:lastModifiedBy>南　二予</cp:lastModifiedBy>
  <cp:revision>2</cp:revision>
  <cp:lastPrinted>2026-02-06T02:57:00Z</cp:lastPrinted>
  <dcterms:created xsi:type="dcterms:W3CDTF">2026-03-30T04:14:00Z</dcterms:created>
  <dcterms:modified xsi:type="dcterms:W3CDTF">2026-03-30T04:14:00Z</dcterms:modified>
</cp:coreProperties>
</file>