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3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drawings/drawing5.xml" ContentType="application/vnd.openxmlformats-officedocument.drawingml.chartshapes+xml"/>
  <Override PartName="/word/charts/chart11.xml" ContentType="application/vnd.openxmlformats-officedocument.drawingml.chart+xml"/>
  <Override PartName="/word/drawings/drawing6.xml" ContentType="application/vnd.openxmlformats-officedocument.drawingml.chartshapes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drawings/drawing7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drawings/drawing8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drawings/drawing9.xml" ContentType="application/vnd.openxmlformats-officedocument.drawingml.chartshapes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drawings/drawing10.xml" ContentType="application/vnd.openxmlformats-officedocument.drawingml.chartshapes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drawings/drawing11.xml" ContentType="application/vnd.openxmlformats-officedocument.drawingml.chartshapes+xml"/>
  <Override PartName="/word/charts/chart2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7746" w:rsidRDefault="00016A96" w:rsidP="0015543D">
      <w:pPr>
        <w:jc w:val="center"/>
        <w:rPr>
          <w:b/>
          <w:sz w:val="32"/>
        </w:rPr>
      </w:pPr>
      <w:r w:rsidRPr="00016A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D1090" wp14:editId="1BC11265">
                <wp:simplePos x="0" y="0"/>
                <wp:positionH relativeFrom="column">
                  <wp:posOffset>4725670</wp:posOffset>
                </wp:positionH>
                <wp:positionV relativeFrom="paragraph">
                  <wp:posOffset>-372762</wp:posOffset>
                </wp:positionV>
                <wp:extent cx="1238061" cy="333375"/>
                <wp:effectExtent l="0" t="0" r="19685" b="28575"/>
                <wp:wrapNone/>
                <wp:docPr id="24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061" cy="333375"/>
                        </a:xfrm>
                        <a:prstGeom prst="round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6A96" w:rsidRDefault="00016A96" w:rsidP="00016A9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HGPｺﾞｼｯｸE" w:hAnsi="HGPｺﾞｼｯｸE" w:cs="Times New Roman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資　料　１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2" o:spid="_x0000_s1026" style="position:absolute;left:0;text-align:left;margin-left:372.1pt;margin-top:-29.35pt;width:97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E1RQIAALIEAAAOAAAAZHJzL2Uyb0RvYy54bWysVM1u1DAQviPxDpbvbH7aLVW02QpRFSEh&#10;qFp4AK9jbyz5J9jeTfY1uPbGhVfopW9DJR6DsZ1kK0AcEDl4x/bMN/N9ntnVxaAk2jPrhNE1LhY5&#10;RkxT0wi9rfGnj1cvzjFynuiGSKNZjQ/M4Yv182ervqtYaVojG2YRgGhX9V2NW++7KsscbZkibmE6&#10;puGSG6uIh63dZo0lPaArmZV5fpb1xjadNZQ5B6eX6RKvIz7njPoPnDvmkawx1ObjauO6CWu2XpFq&#10;a0nXCjqWQf6hCkWEhqQz1CXxBO2s+A1KCWqNM9wvqFGZ4VxQFjkAmyL/hc1tSzoWuYA4rptlcv8P&#10;lr7fX1skmhqXpxhpouCNfnz78v3+/vHuDozHh6+oDCr1navA+ba7tuPOgRkoD9yq8Atk0BCVPczK&#10;ssEjCodFeXKenxUYUbg7ge/lMoBmx+jOOv+GGYWCUWNrdrq5geeLqpL9O+eT/+QXMmpzJaSEc1JJ&#10;jXrgsDzN4ZWp6oBQs5Ex2BkpmuAY/GJjsdfSoj2BlvBDMdbxxAuqkhqKC5QTyWj5g2Qp1Q3jIBnQ&#10;KlOC0KxHTEIp075IVy1pWEq1zOGbkk0RUQKpATAgcyhyxh4BJs8EMmEnLUb/EMpir8/B+d8KS8Fz&#10;RMxstJ+DldDG/glAAqsxc/KfRErSBJX8sBnAJZgb0xygt3oYrhq7zztiGUbyrYbuDZM4GXYyNpNB&#10;NG0NzCj1qQptXu284SJ2wBF5TA6DEVUchzhM3tN99Dr+1ax/AgAA//8DAFBLAwQUAAYACAAAACEA&#10;gPOByN4AAAAKAQAADwAAAGRycy9kb3ducmV2LnhtbEyPwW7CMAyG75P2DpGRdoOUjgHtmqJp0yRu&#10;09gOHENj2o7EqZpQytvPnLajf3/6/bnYjM6KAfvQelIwnyUgkCpvWqoVfH+9T9cgQtRktPWECq4Y&#10;YFPe3xU6N/5CnzjsYi24hEKuFTQxdrmUoWrQ6TDzHRLvjr53OvLY19L0+sLlzso0SZbS6Zb4QqM7&#10;fG2wOu3OToF/o48hbLMfv48uMVc5J9dapR4m48sziIhj/IPhps/qULLTwZ/JBGEVrBaLlFEF06f1&#10;CgQT2WPGyYGTZQqyLOT/F8pfAAAA//8DAFBLAQItABQABgAIAAAAIQC2gziS/gAAAOEBAAATAAAA&#10;AAAAAAAAAAAAAAAAAABbQ29udGVudF9UeXBlc10ueG1sUEsBAi0AFAAGAAgAAAAhADj9If/WAAAA&#10;lAEAAAsAAAAAAAAAAAAAAAAALwEAAF9yZWxzLy5yZWxzUEsBAi0AFAAGAAgAAAAhAKgBYTVFAgAA&#10;sgQAAA4AAAAAAAAAAAAAAAAALgIAAGRycy9lMm9Eb2MueG1sUEsBAi0AFAAGAAgAAAAhAIDzgcje&#10;AAAACgEAAA8AAAAAAAAAAAAAAAAAnwQAAGRycy9kb3ducmV2LnhtbFBLBQYAAAAABAAEAPMAAACq&#10;BQAAAAA=&#10;" filled="f" strokecolor="black [3213]" strokeweight="2pt">
                <v:stroke linestyle="thinThin"/>
                <v:textbox inset="0,0,0,0">
                  <w:txbxContent>
                    <w:p w:rsidR="00016A96" w:rsidRDefault="00016A96" w:rsidP="00016A9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HGPｺﾞｼｯｸE" w:hAnsi="HGPｺﾞｼｯｸE" w:cs="Times New Roman" w:hint="eastAsia"/>
                          <w:color w:val="000000"/>
                          <w:kern w:val="24"/>
                          <w:sz w:val="32"/>
                          <w:szCs w:val="32"/>
                        </w:rPr>
                        <w:t>資　料　１</w:t>
                      </w:r>
                    </w:p>
                  </w:txbxContent>
                </v:textbox>
              </v:roundrect>
            </w:pict>
          </mc:Fallback>
        </mc:AlternateContent>
      </w:r>
      <w:r w:rsidR="005C7746" w:rsidRPr="0015543D">
        <w:rPr>
          <w:b/>
          <w:sz w:val="32"/>
        </w:rPr>
        <w:t>平成</w:t>
      </w:r>
      <w:r w:rsidR="0015543D" w:rsidRPr="0015543D">
        <w:rPr>
          <w:rFonts w:hint="eastAsia"/>
          <w:b/>
          <w:sz w:val="32"/>
        </w:rPr>
        <w:t>28</w:t>
      </w:r>
      <w:r w:rsidR="00B45CB5" w:rsidRPr="0015543D">
        <w:rPr>
          <w:b/>
          <w:sz w:val="32"/>
        </w:rPr>
        <w:t>年度　障がい者グループホームの実態</w:t>
      </w:r>
      <w:r w:rsidR="0015543D" w:rsidRPr="0015543D">
        <w:rPr>
          <w:rFonts w:hint="eastAsia"/>
          <w:b/>
          <w:sz w:val="32"/>
        </w:rPr>
        <w:t>に関する</w:t>
      </w:r>
      <w:r w:rsidR="005C7746" w:rsidRPr="0015543D">
        <w:rPr>
          <w:b/>
          <w:sz w:val="32"/>
        </w:rPr>
        <w:t>調査</w:t>
      </w:r>
    </w:p>
    <w:p w:rsidR="0015543D" w:rsidRPr="0015543D" w:rsidRDefault="0015543D" w:rsidP="0015543D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《速報版》</w:t>
      </w:r>
    </w:p>
    <w:p w:rsidR="005F607A" w:rsidRPr="0015543D" w:rsidRDefault="005F607A" w:rsidP="0015543D"/>
    <w:p w:rsidR="0064059B" w:rsidRPr="0026796B" w:rsidRDefault="0064059B" w:rsidP="0064059B">
      <w:pPr>
        <w:rPr>
          <w:b/>
          <w:sz w:val="28"/>
          <w:bdr w:val="single" w:sz="4" w:space="0" w:color="auto"/>
        </w:rPr>
      </w:pPr>
      <w:r w:rsidRPr="0026796B">
        <w:rPr>
          <w:b/>
          <w:sz w:val="28"/>
          <w:bdr w:val="single" w:sz="4" w:space="0" w:color="auto"/>
        </w:rPr>
        <w:t>調査概要</w:t>
      </w:r>
    </w:p>
    <w:p w:rsidR="0064059B" w:rsidRPr="008A38C2" w:rsidRDefault="0064059B" w:rsidP="0064059B">
      <w:pPr>
        <w:rPr>
          <w:b/>
        </w:rPr>
      </w:pPr>
      <w:r w:rsidRPr="008A38C2">
        <w:rPr>
          <w:rFonts w:hint="eastAsia"/>
          <w:b/>
        </w:rPr>
        <w:t>１．</w:t>
      </w:r>
      <w:r w:rsidRPr="008A38C2">
        <w:rPr>
          <w:b/>
        </w:rPr>
        <w:t>調査対象</w:t>
      </w:r>
    </w:p>
    <w:p w:rsidR="0064059B" w:rsidRPr="0015543D" w:rsidRDefault="0064059B" w:rsidP="0064059B">
      <w:pPr>
        <w:ind w:leftChars="200" w:left="480"/>
      </w:pPr>
      <w:r>
        <w:rPr>
          <w:rFonts w:hint="eastAsia"/>
        </w:rPr>
        <w:t>大阪市を除く府内市町村に所在する障がい者</w:t>
      </w:r>
      <w:r w:rsidRPr="0015543D">
        <w:t>グループホーム</w:t>
      </w:r>
    </w:p>
    <w:p w:rsidR="0064059B" w:rsidRDefault="0064059B" w:rsidP="0064059B">
      <w:pPr>
        <w:ind w:leftChars="200" w:left="480"/>
      </w:pPr>
      <w:r>
        <w:rPr>
          <w:rFonts w:hint="eastAsia"/>
        </w:rPr>
        <w:t xml:space="preserve">【基準日】 </w:t>
      </w:r>
      <w:r w:rsidRPr="0015543D">
        <w:t>平成2</w:t>
      </w:r>
      <w:r>
        <w:rPr>
          <w:rFonts w:hint="eastAsia"/>
        </w:rPr>
        <w:t>9</w:t>
      </w:r>
      <w:r w:rsidRPr="0015543D">
        <w:t>年</w:t>
      </w:r>
      <w:r>
        <w:rPr>
          <w:rFonts w:hint="eastAsia"/>
        </w:rPr>
        <w:t>2</w:t>
      </w:r>
      <w:r w:rsidRPr="0015543D">
        <w:t>月1</w:t>
      </w:r>
      <w:r>
        <w:t>日</w:t>
      </w:r>
    </w:p>
    <w:p w:rsidR="0064059B" w:rsidRPr="0015543D" w:rsidRDefault="0064059B" w:rsidP="0064059B">
      <w:pPr>
        <w:ind w:leftChars="200" w:left="480"/>
      </w:pPr>
      <w:r>
        <w:rPr>
          <w:rFonts w:hint="eastAsia"/>
        </w:rPr>
        <w:t>※大阪市所管のグループホームについては、大阪市が別途調査を実施</w:t>
      </w:r>
    </w:p>
    <w:p w:rsidR="0064059B" w:rsidRPr="0015543D" w:rsidRDefault="0064059B" w:rsidP="0064059B"/>
    <w:p w:rsidR="0064059B" w:rsidRPr="008A38C2" w:rsidRDefault="0064059B" w:rsidP="0064059B">
      <w:pPr>
        <w:rPr>
          <w:b/>
        </w:rPr>
      </w:pPr>
      <w:r>
        <w:rPr>
          <w:rFonts w:hint="eastAsia"/>
          <w:b/>
        </w:rPr>
        <w:t>２</w:t>
      </w:r>
      <w:r w:rsidRPr="008A38C2">
        <w:rPr>
          <w:rFonts w:hint="eastAsia"/>
          <w:b/>
        </w:rPr>
        <w:t>．</w:t>
      </w:r>
      <w:r w:rsidRPr="008A38C2">
        <w:rPr>
          <w:b/>
        </w:rPr>
        <w:t>調査</w:t>
      </w:r>
      <w:r>
        <w:rPr>
          <w:rFonts w:hint="eastAsia"/>
          <w:b/>
        </w:rPr>
        <w:t>内容</w:t>
      </w:r>
    </w:p>
    <w:p w:rsidR="0064059B" w:rsidRDefault="0064059B" w:rsidP="0064059B">
      <w:pPr>
        <w:ind w:leftChars="200" w:left="480"/>
      </w:pPr>
      <w:r>
        <w:rPr>
          <w:rFonts w:hint="eastAsia"/>
        </w:rPr>
        <w:t>別紙調査票のとおり</w:t>
      </w:r>
    </w:p>
    <w:p w:rsidR="0064059B" w:rsidRPr="00B36073" w:rsidRDefault="0064059B" w:rsidP="0064059B"/>
    <w:p w:rsidR="0064059B" w:rsidRPr="008A38C2" w:rsidRDefault="0064059B" w:rsidP="0064059B">
      <w:pPr>
        <w:rPr>
          <w:b/>
        </w:rPr>
      </w:pPr>
      <w:r>
        <w:rPr>
          <w:rFonts w:hint="eastAsia"/>
          <w:b/>
        </w:rPr>
        <w:t>３</w:t>
      </w:r>
      <w:r w:rsidRPr="008A38C2">
        <w:rPr>
          <w:rFonts w:hint="eastAsia"/>
          <w:b/>
        </w:rPr>
        <w:t>．</w:t>
      </w:r>
      <w:r w:rsidRPr="008A38C2">
        <w:rPr>
          <w:b/>
        </w:rPr>
        <w:t>調査</w:t>
      </w:r>
      <w:r>
        <w:rPr>
          <w:rFonts w:hint="eastAsia"/>
          <w:b/>
        </w:rPr>
        <w:t>方法</w:t>
      </w:r>
    </w:p>
    <w:p w:rsidR="0064059B" w:rsidRDefault="0064059B" w:rsidP="0064059B">
      <w:pPr>
        <w:ind w:leftChars="200" w:left="480" w:firstLineChars="100" w:firstLine="240"/>
      </w:pPr>
      <w:r>
        <w:rPr>
          <w:rFonts w:hint="eastAsia"/>
        </w:rPr>
        <w:t>大阪市を除く府内市町村に所在する障がい者</w:t>
      </w:r>
      <w:r w:rsidRPr="0015543D">
        <w:t>グループホーム</w:t>
      </w:r>
      <w:r>
        <w:rPr>
          <w:rFonts w:hint="eastAsia"/>
        </w:rPr>
        <w:t>の運営法人（279法人）へ調査票を送付し、メール及びファックスにより235事業所（共同生活住居数：1,028）から回答を得た。</w:t>
      </w:r>
    </w:p>
    <w:p w:rsidR="0064059B" w:rsidRPr="0015543D" w:rsidRDefault="0064059B" w:rsidP="0064059B">
      <w:pPr>
        <w:ind w:leftChars="200" w:left="480" w:firstLineChars="100" w:firstLine="240"/>
      </w:pPr>
      <w:r>
        <w:rPr>
          <w:rFonts w:hint="eastAsia"/>
        </w:rPr>
        <w:t>〔調査期間〕　平成29年2月3日～17日</w:t>
      </w:r>
    </w:p>
    <w:p w:rsidR="0064059B" w:rsidRPr="0015543D" w:rsidRDefault="0064059B" w:rsidP="0064059B">
      <w:pPr>
        <w:ind w:leftChars="200" w:left="480" w:firstLineChars="100" w:firstLine="240"/>
      </w:pPr>
      <w:r>
        <w:rPr>
          <w:rFonts w:hint="eastAsia"/>
        </w:rPr>
        <w:t>〔回収率〕　235事業所／340事業所＝69.1％</w:t>
      </w:r>
    </w:p>
    <w:p w:rsidR="003C0148" w:rsidRPr="0064059B" w:rsidRDefault="003C0148" w:rsidP="0015543D"/>
    <w:p w:rsidR="00AF282F" w:rsidRPr="0015543D" w:rsidRDefault="00AF282F" w:rsidP="0015543D"/>
    <w:p w:rsidR="0064059B" w:rsidRDefault="0064059B">
      <w:pPr>
        <w:widowControl/>
        <w:jc w:val="left"/>
        <w:rPr>
          <w:b/>
          <w:sz w:val="28"/>
          <w:bdr w:val="single" w:sz="4" w:space="0" w:color="auto"/>
        </w:rPr>
      </w:pPr>
      <w:r>
        <w:rPr>
          <w:b/>
          <w:sz w:val="28"/>
          <w:bdr w:val="single" w:sz="4" w:space="0" w:color="auto"/>
        </w:rPr>
        <w:br w:type="page"/>
      </w:r>
    </w:p>
    <w:p w:rsidR="00AF282F" w:rsidRPr="000E3945" w:rsidRDefault="000E3945" w:rsidP="0015543D">
      <w:pPr>
        <w:rPr>
          <w:b/>
          <w:sz w:val="28"/>
          <w:bdr w:val="single" w:sz="4" w:space="0" w:color="auto"/>
        </w:rPr>
      </w:pPr>
      <w:r w:rsidRPr="000E3945">
        <w:rPr>
          <w:rFonts w:hint="eastAsia"/>
          <w:b/>
          <w:sz w:val="28"/>
          <w:bdr w:val="single" w:sz="4" w:space="0" w:color="auto"/>
        </w:rPr>
        <w:lastRenderedPageBreak/>
        <w:t>調査結果の概要</w:t>
      </w:r>
    </w:p>
    <w:p w:rsidR="00FB0F94" w:rsidRDefault="0085495A" w:rsidP="00493DFE">
      <w:r>
        <w:rPr>
          <w:rFonts w:hint="eastAsia"/>
        </w:rPr>
        <w:t xml:space="preserve">　※</w:t>
      </w:r>
      <w:r w:rsidRPr="0085495A">
        <w:rPr>
          <w:rFonts w:ascii="Century Gothic" w:hAnsi="Century Gothic"/>
        </w:rPr>
        <w:t>〔　　〕</w:t>
      </w:r>
      <w:r>
        <w:rPr>
          <w:rFonts w:hint="eastAsia"/>
        </w:rPr>
        <w:t>内の数値は、各グラフの有効回答数</w:t>
      </w:r>
    </w:p>
    <w:p w:rsidR="0085495A" w:rsidRPr="00895FFB" w:rsidRDefault="0085495A" w:rsidP="00493DFE"/>
    <w:p w:rsidR="00493DFE" w:rsidRPr="00493DFE" w:rsidRDefault="00493DFE" w:rsidP="00493DFE">
      <w:pPr>
        <w:rPr>
          <w:b/>
        </w:rPr>
      </w:pPr>
      <w:r w:rsidRPr="00493DFE">
        <w:rPr>
          <w:rFonts w:hint="eastAsia"/>
          <w:b/>
        </w:rPr>
        <w:t>Ⅰ．</w:t>
      </w:r>
      <w:r w:rsidR="00086F2E">
        <w:rPr>
          <w:rFonts w:hint="eastAsia"/>
          <w:b/>
        </w:rPr>
        <w:t>グループホーム</w:t>
      </w:r>
      <w:r w:rsidR="00895FFB">
        <w:rPr>
          <w:rFonts w:hint="eastAsia"/>
          <w:b/>
        </w:rPr>
        <w:t>の</w:t>
      </w:r>
      <w:r w:rsidR="00086F2E">
        <w:rPr>
          <w:rFonts w:hint="eastAsia"/>
          <w:b/>
        </w:rPr>
        <w:t>概況</w:t>
      </w:r>
    </w:p>
    <w:p w:rsidR="0031717F" w:rsidRPr="00FB0F94" w:rsidRDefault="0031717F" w:rsidP="0031717F"/>
    <w:p w:rsidR="0031717F" w:rsidRDefault="00493DFE" w:rsidP="003C4879">
      <w:pPr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E32055">
        <w:rPr>
          <w:rFonts w:hint="eastAsia"/>
          <w:b/>
          <w:u w:val="single"/>
        </w:rPr>
        <w:t>利用建物</w:t>
      </w:r>
      <w:r w:rsidR="00A80DCC">
        <w:rPr>
          <w:rFonts w:hint="eastAsia"/>
          <w:b/>
          <w:u w:val="single"/>
        </w:rPr>
        <w:t>の状況</w:t>
      </w:r>
    </w:p>
    <w:p w:rsidR="004E7D35" w:rsidRDefault="00453D00" w:rsidP="00B72612">
      <w:pPr>
        <w:ind w:leftChars="100" w:left="240"/>
        <w:jc w:val="center"/>
      </w:pPr>
      <w:r>
        <w:rPr>
          <w:rFonts w:hint="eastAsia"/>
          <w:noProof/>
        </w:rPr>
        <w:drawing>
          <wp:inline distT="0" distB="0" distL="0" distR="0" wp14:anchorId="1AB645EF" wp14:editId="5DA59A78">
            <wp:extent cx="2705100" cy="2562225"/>
            <wp:effectExtent l="0" t="0" r="0" b="0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/>
          <w:noProof/>
        </w:rPr>
        <w:t xml:space="preserve"> </w:t>
      </w:r>
      <w:r w:rsidR="00E8168D">
        <w:rPr>
          <w:rFonts w:hint="eastAsia"/>
          <w:noProof/>
        </w:rPr>
        <w:drawing>
          <wp:inline distT="0" distB="0" distL="0" distR="0">
            <wp:extent cx="2705100" cy="2562225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059B" w:rsidRDefault="0064059B" w:rsidP="00B72612">
      <w:pPr>
        <w:jc w:val="center"/>
        <w:rPr>
          <w:b/>
          <w:bdr w:val="single" w:sz="4" w:space="0" w:color="auto"/>
        </w:rPr>
      </w:pPr>
    </w:p>
    <w:p w:rsidR="00453D00" w:rsidRPr="00453D00" w:rsidRDefault="00453D00" w:rsidP="00B72612">
      <w:pPr>
        <w:jc w:val="center"/>
        <w:rPr>
          <w:b/>
          <w:bdr w:val="single" w:sz="4" w:space="0" w:color="auto"/>
        </w:rPr>
      </w:pPr>
      <w:r w:rsidRPr="00453D00">
        <w:rPr>
          <w:rFonts w:hint="eastAsia"/>
          <w:b/>
          <w:bdr w:val="single" w:sz="4" w:space="0" w:color="auto"/>
        </w:rPr>
        <w:t>住宅形式×所有関係</w:t>
      </w:r>
    </w:p>
    <w:p w:rsidR="006B5C37" w:rsidRDefault="003C4879" w:rsidP="00B72612">
      <w:pPr>
        <w:jc w:val="center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059B" w:rsidRDefault="0064059B">
      <w:pPr>
        <w:widowControl/>
        <w:jc w:val="left"/>
      </w:pPr>
      <w:r>
        <w:br w:type="page"/>
      </w:r>
    </w:p>
    <w:p w:rsidR="0064059B" w:rsidRDefault="0064059B" w:rsidP="0064059B"/>
    <w:p w:rsidR="00733136" w:rsidRDefault="00733136" w:rsidP="003C0148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Pr="0031717F">
        <w:rPr>
          <w:rFonts w:hint="eastAsia"/>
          <w:b/>
          <w:u w:val="single"/>
        </w:rPr>
        <w:t>グループホームの</w:t>
      </w:r>
      <w:r>
        <w:rPr>
          <w:rFonts w:hint="eastAsia"/>
          <w:b/>
          <w:u w:val="single"/>
        </w:rPr>
        <w:t>規模</w:t>
      </w:r>
    </w:p>
    <w:p w:rsidR="00305064" w:rsidRPr="00305064" w:rsidRDefault="00305064" w:rsidP="00305064">
      <w:pPr>
        <w:jc w:val="center"/>
        <w:rPr>
          <w:b/>
          <w:bdr w:val="single" w:sz="4" w:space="0" w:color="auto"/>
        </w:rPr>
      </w:pPr>
      <w:r w:rsidRPr="00453D00">
        <w:rPr>
          <w:rFonts w:hint="eastAsia"/>
          <w:b/>
          <w:bdr w:val="single" w:sz="4" w:space="0" w:color="auto"/>
        </w:rPr>
        <w:t>住宅形式×</w:t>
      </w:r>
      <w:r>
        <w:rPr>
          <w:rFonts w:hint="eastAsia"/>
          <w:b/>
          <w:bdr w:val="single" w:sz="4" w:space="0" w:color="auto"/>
        </w:rPr>
        <w:t>定員</w:t>
      </w:r>
    </w:p>
    <w:p w:rsidR="00453D00" w:rsidRDefault="0085495A" w:rsidP="00453D00">
      <w:pPr>
        <w:jc w:val="center"/>
      </w:pPr>
      <w:r w:rsidRPr="0085495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EA241" wp14:editId="2D534FF6">
                <wp:simplePos x="0" y="0"/>
                <wp:positionH relativeFrom="column">
                  <wp:posOffset>201295</wp:posOffset>
                </wp:positionH>
                <wp:positionV relativeFrom="paragraph">
                  <wp:posOffset>774048</wp:posOffset>
                </wp:positionV>
                <wp:extent cx="683260" cy="295910"/>
                <wp:effectExtent l="0" t="0" r="0" b="0"/>
                <wp:wrapNone/>
                <wp:docPr id="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5495A" w:rsidRDefault="0085495A" w:rsidP="0085495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cstheme="minorBidi" w:hint="eastAsia"/>
                              </w:rPr>
                              <w:t>〔</w:t>
                            </w:r>
                            <w:r>
                              <w:rPr>
                                <w:rFonts w:ascii="Century Gothic" w:cstheme="minorBidi" w:hint="eastAsia"/>
                              </w:rPr>
                              <w:t>1,026</w:t>
                            </w:r>
                            <w:r>
                              <w:rPr>
                                <w:rFonts w:ascii="Century Gothic" w:cstheme="minorBidi" w:hint="eastAsia"/>
                              </w:rPr>
                              <w:t>〕</w:t>
                            </w:r>
                          </w:p>
                        </w:txbxContent>
                      </wps:txbx>
                      <wps:bodyPr vertOverflow="clip"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5.85pt;margin-top:60.95pt;width:53.8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SgA2QEAAG4DAAAOAAAAZHJzL2Uyb0RvYy54bWysU82O0zAQviPxDpbvNG3QVrtR0xXsCoSE&#10;WKSFB3Adu7EUe4ztNum1kRAPwSugPfM8eRHGTtNdLTfEZTI/9vibb76srjvdkL1wXoEp6WI2p0QY&#10;DpUy25J+/fLu1SUlPjBTsQaMKOlBeHq9fvli1dpC5FBDUwlHsInxRWtLWodgiyzzvBaa+RlYYbAo&#10;wWkWMHTbrHKsxe66yfL5fJm14CrrgAvvMXs7Fuk69ZdS8HAnpReBNCVFbCFZl+wm2my9YsXWMVsr&#10;foLB/gGFZsrgo+dWtywwsnPqr1ZacQceZJhx0BlIqbhIM+A0i/mzae5rZkWaBcnx9kyT/39t+af9&#10;Z0dUVdL8ghLDNO5o6L8Px1/D8ffQ/yBD/3Po++H4gDFZRL5a6wu8dm/xYujeQod7n/Iek5GGTjod&#10;vzggwToyfzizLbpAOCaXl6/zJVY4lvKri6tF2kb2eNk6H94L0CQ6JXW4zMQx23/0AYHg0ekIBhHW&#10;+Hz0Qrfp0lhnaBuoDogYtRru0MgG2pLyRllKWtx/Sf23HXOCkuaDQYKjWCbHTc5mclxobmCUFDO8&#10;BlQUD46SMbgJSWGRAANvdgGkSngjsBHGCS8uNY1xEmBUzdM4nXr8TdZ/AAAA//8DAFBLAwQUAAYA&#10;CAAAACEAFN4/Ot8AAAAKAQAADwAAAGRycy9kb3ducmV2LnhtbEyPTW7CMBBG95V6B2sqdVMVJ0RQ&#10;SOMgSlVYsQjtAUw8JBHxOIoNpD19hxXs5ufpmzfZYrCtOGPvG0cK4lEEAql0pqFKwc/31+sMhA+a&#10;jG4doYJf9LDIHx8ynRp3oQLPu1AJDiGfagV1CF0qpS9rtNqPXIfEu4PrrQ7c9pU0vb5wuG3lOIqm&#10;0uqG+EKtO1zVWB53J6sAl4X72x792hYfn6v1oSF8kRulnp+G5TuIgEO4wXDVZ3XI2WnvTmS8aBUk&#10;8RuTPB/HcxBXIJknIPZcTGcTkHkm71/I/wEAAP//AwBQSwECLQAUAAYACAAAACEAtoM4kv4AAADh&#10;AQAAEwAAAAAAAAAAAAAAAAAAAAAAW0NvbnRlbnRfVHlwZXNdLnhtbFBLAQItABQABgAIAAAAIQA4&#10;/SH/1gAAAJQBAAALAAAAAAAAAAAAAAAAAC8BAABfcmVscy8ucmVsc1BLAQItABQABgAIAAAAIQCP&#10;7SgA2QEAAG4DAAAOAAAAAAAAAAAAAAAAAC4CAABkcnMvZTJvRG9jLnhtbFBLAQItABQABgAIAAAA&#10;IQAU3j863wAAAAoBAAAPAAAAAAAAAAAAAAAAADMEAABkcnMvZG93bnJldi54bWxQSwUGAAAAAAQA&#10;BADzAAAAPwUAAAAA&#10;" filled="f" stroked="f">
                <v:textbox inset="0,0,0,0">
                  <w:txbxContent>
                    <w:p w:rsidR="0085495A" w:rsidRDefault="0085495A" w:rsidP="0085495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Century Gothic" w:cstheme="minorBidi" w:hint="eastAsia"/>
                        </w:rPr>
                        <w:t>〔</w:t>
                      </w:r>
                      <w:r>
                        <w:rPr>
                          <w:rFonts w:ascii="Century Gothic" w:cstheme="minorBidi" w:hint="eastAsia"/>
                        </w:rPr>
                        <w:t>1,026</w:t>
                      </w:r>
                      <w:r>
                        <w:rPr>
                          <w:rFonts w:ascii="Century Gothic" w:cstheme="minorBidi" w:hint="eastAsia"/>
                        </w:rPr>
                        <w:t>〕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53D00">
        <w:rPr>
          <w:noProof/>
        </w:rPr>
        <w:drawing>
          <wp:inline distT="0" distB="0" distL="0" distR="0" wp14:anchorId="01B7C9A7" wp14:editId="02BFC2AB">
            <wp:extent cx="5486400" cy="3200400"/>
            <wp:effectExtent l="0" t="0" r="0" b="0"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064" w:rsidRDefault="00305064" w:rsidP="00305064">
      <w:pPr>
        <w:jc w:val="center"/>
        <w:rPr>
          <w:b/>
          <w:bdr w:val="single" w:sz="4" w:space="0" w:color="auto"/>
        </w:rPr>
      </w:pPr>
    </w:p>
    <w:p w:rsidR="00305064" w:rsidRPr="00453D00" w:rsidRDefault="00305064" w:rsidP="00305064">
      <w:pPr>
        <w:jc w:val="center"/>
        <w:rPr>
          <w:b/>
          <w:bdr w:val="single" w:sz="4" w:space="0" w:color="auto"/>
        </w:rPr>
      </w:pPr>
      <w:r w:rsidRPr="00453D00">
        <w:rPr>
          <w:rFonts w:hint="eastAsia"/>
          <w:b/>
          <w:bdr w:val="single" w:sz="4" w:space="0" w:color="auto"/>
        </w:rPr>
        <w:t>住宅形式×</w:t>
      </w:r>
      <w:r>
        <w:rPr>
          <w:rFonts w:hint="eastAsia"/>
          <w:b/>
          <w:bdr w:val="single" w:sz="4" w:space="0" w:color="auto"/>
        </w:rPr>
        <w:t>延べ面積</w:t>
      </w:r>
    </w:p>
    <w:p w:rsidR="00A80DCC" w:rsidRDefault="00305064" w:rsidP="00305064">
      <w:pPr>
        <w:widowControl/>
        <w:jc w:val="center"/>
        <w:rPr>
          <w:b/>
        </w:rPr>
      </w:pPr>
      <w:r>
        <w:rPr>
          <w:noProof/>
        </w:rPr>
        <w:drawing>
          <wp:inline distT="0" distB="0" distL="0" distR="0" wp14:anchorId="565378C2" wp14:editId="5B4C8E48">
            <wp:extent cx="5486400" cy="3200400"/>
            <wp:effectExtent l="0" t="0" r="0" b="0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59D0" w:rsidRDefault="002F59D0">
      <w:pPr>
        <w:widowControl/>
        <w:jc w:val="left"/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br w:type="page"/>
      </w:r>
    </w:p>
    <w:p w:rsidR="00504430" w:rsidRPr="003E6D03" w:rsidRDefault="00504430" w:rsidP="00504430"/>
    <w:p w:rsidR="00504430" w:rsidRDefault="00504430" w:rsidP="00504430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■単独（戸建て形式）の階数</w:t>
      </w:r>
    </w:p>
    <w:p w:rsidR="00504430" w:rsidRPr="00FE6458" w:rsidRDefault="00504430" w:rsidP="00504430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1A61973A" wp14:editId="2CF34BD6">
            <wp:extent cx="2705100" cy="2562225"/>
            <wp:effectExtent l="0" t="0" r="0" b="0"/>
            <wp:docPr id="18" name="グラフ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CB11A53" wp14:editId="014BA3DE">
            <wp:extent cx="2275027" cy="2560320"/>
            <wp:effectExtent l="0" t="0" r="0" b="0"/>
            <wp:docPr id="19" name="グラフ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04430" w:rsidRDefault="00504430" w:rsidP="00504430">
      <w:pPr>
        <w:widowControl/>
        <w:rPr>
          <w:b/>
        </w:rPr>
      </w:pPr>
    </w:p>
    <w:p w:rsidR="00BF4538" w:rsidRDefault="00BF4538" w:rsidP="00504430">
      <w:pPr>
        <w:widowControl/>
        <w:rPr>
          <w:b/>
        </w:rPr>
      </w:pPr>
    </w:p>
    <w:p w:rsidR="00504430" w:rsidRDefault="00504430" w:rsidP="00504430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■集合（共同住宅形式）の専有部分の階数</w:t>
      </w:r>
    </w:p>
    <w:p w:rsidR="00504430" w:rsidRPr="00FE6458" w:rsidRDefault="00504430" w:rsidP="00504430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4DDA3A96" wp14:editId="48067C83">
            <wp:extent cx="2705100" cy="2562225"/>
            <wp:effectExtent l="0" t="0" r="0" b="0"/>
            <wp:docPr id="20" name="グラフ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3BE381BC" wp14:editId="21F4E277">
            <wp:extent cx="2275027" cy="2560320"/>
            <wp:effectExtent l="0" t="0" r="0" b="0"/>
            <wp:docPr id="21" name="グラフ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04430" w:rsidRPr="00C933A1" w:rsidRDefault="00504430" w:rsidP="00504430">
      <w:pPr>
        <w:widowControl/>
        <w:rPr>
          <w:b/>
        </w:rPr>
      </w:pPr>
    </w:p>
    <w:p w:rsidR="00504430" w:rsidRDefault="00504430">
      <w:pPr>
        <w:widowControl/>
        <w:jc w:val="left"/>
        <w:rPr>
          <w:b/>
        </w:rPr>
      </w:pPr>
      <w:r>
        <w:rPr>
          <w:b/>
        </w:rPr>
        <w:br w:type="page"/>
      </w:r>
    </w:p>
    <w:p w:rsidR="00FB0F94" w:rsidRPr="00493DFE" w:rsidRDefault="00FB0F94" w:rsidP="00FB0F94">
      <w:pPr>
        <w:rPr>
          <w:b/>
        </w:rPr>
      </w:pPr>
      <w:r>
        <w:rPr>
          <w:rFonts w:hint="eastAsia"/>
          <w:b/>
        </w:rPr>
        <w:t>Ⅱ</w:t>
      </w:r>
      <w:r w:rsidRPr="00493DFE">
        <w:rPr>
          <w:rFonts w:hint="eastAsia"/>
          <w:b/>
        </w:rPr>
        <w:t>．</w:t>
      </w:r>
      <w:r>
        <w:rPr>
          <w:rFonts w:hint="eastAsia"/>
          <w:b/>
        </w:rPr>
        <w:t>入居者の状況</w:t>
      </w:r>
    </w:p>
    <w:p w:rsidR="00B94952" w:rsidRPr="00FB0F94" w:rsidRDefault="00B94952" w:rsidP="00B94952"/>
    <w:p w:rsidR="00B94952" w:rsidRDefault="000161E1" w:rsidP="00B94952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B94952">
        <w:rPr>
          <w:rFonts w:hint="eastAsia"/>
          <w:b/>
          <w:u w:val="single"/>
        </w:rPr>
        <w:t>障がい支援区分</w:t>
      </w:r>
    </w:p>
    <w:p w:rsidR="00FE6458" w:rsidRPr="00FE6458" w:rsidRDefault="00B94952" w:rsidP="00AB2313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20DE435C" wp14:editId="09CAEECD">
            <wp:extent cx="2705100" cy="2562225"/>
            <wp:effectExtent l="0" t="0" r="0" b="0"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C67E65">
        <w:rPr>
          <w:rFonts w:hint="eastAsia"/>
          <w:noProof/>
        </w:rPr>
        <w:drawing>
          <wp:inline distT="0" distB="0" distL="0" distR="0" wp14:anchorId="554CB7B9" wp14:editId="7B312964">
            <wp:extent cx="2275027" cy="2560320"/>
            <wp:effectExtent l="0" t="0" r="0" b="0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B2313" w:rsidRDefault="00C67E65" w:rsidP="00E04AFE">
      <w:pPr>
        <w:ind w:leftChars="400" w:left="960"/>
        <w:rPr>
          <w:b/>
          <w:u w:val="single"/>
        </w:rPr>
      </w:pPr>
      <w:r>
        <w:rPr>
          <w:rFonts w:hint="eastAsia"/>
          <w:b/>
          <w:u w:val="single"/>
        </w:rPr>
        <w:t>(再掲) 区分４以上,57.5</w:t>
      </w:r>
      <w:r w:rsidR="00AB2313">
        <w:rPr>
          <w:rFonts w:hint="eastAsia"/>
          <w:b/>
          <w:u w:val="single"/>
        </w:rPr>
        <w:t>％</w:t>
      </w:r>
      <w:r w:rsidR="00E04AFE" w:rsidRPr="00E04AFE">
        <w:rPr>
          <w:rFonts w:hint="eastAsia"/>
          <w:b/>
          <w:sz w:val="21"/>
        </w:rPr>
        <w:t xml:space="preserve">　</w:t>
      </w:r>
      <w:r w:rsidR="00E04AFE">
        <w:rPr>
          <w:rFonts w:hint="eastAsia"/>
          <w:b/>
          <w:sz w:val="21"/>
        </w:rPr>
        <w:t xml:space="preserve">　　　　　　　　</w:t>
      </w:r>
      <w:r w:rsidR="00E04AFE" w:rsidRPr="00E04AFE">
        <w:rPr>
          <w:rFonts w:hint="eastAsia"/>
          <w:b/>
          <w:sz w:val="21"/>
        </w:rPr>
        <w:t xml:space="preserve">　</w:t>
      </w:r>
      <w:r w:rsidR="00E04AFE" w:rsidRPr="00E04AFE">
        <w:rPr>
          <w:rFonts w:hint="eastAsia"/>
          <w:b/>
          <w:sz w:val="21"/>
          <w:u w:val="single"/>
        </w:rPr>
        <w:t>(再掲) 区分４以上,</w:t>
      </w:r>
      <w:r w:rsidR="00E04AFE">
        <w:rPr>
          <w:rFonts w:hint="eastAsia"/>
          <w:b/>
          <w:sz w:val="21"/>
          <w:u w:val="single"/>
        </w:rPr>
        <w:t>4</w:t>
      </w:r>
      <w:r w:rsidR="00E04AFE" w:rsidRPr="00E04AFE">
        <w:rPr>
          <w:rFonts w:hint="eastAsia"/>
          <w:b/>
          <w:sz w:val="21"/>
          <w:u w:val="single"/>
        </w:rPr>
        <w:t>7.</w:t>
      </w:r>
      <w:r w:rsidR="00E04AFE">
        <w:rPr>
          <w:rFonts w:hint="eastAsia"/>
          <w:b/>
          <w:sz w:val="21"/>
          <w:u w:val="single"/>
        </w:rPr>
        <w:t>9</w:t>
      </w:r>
      <w:r w:rsidR="00E04AFE" w:rsidRPr="00E04AFE">
        <w:rPr>
          <w:rFonts w:hint="eastAsia"/>
          <w:b/>
          <w:sz w:val="21"/>
          <w:u w:val="single"/>
        </w:rPr>
        <w:t>％</w:t>
      </w:r>
    </w:p>
    <w:p w:rsidR="00E04AFE" w:rsidRDefault="00E04AFE" w:rsidP="00AB2313">
      <w:pPr>
        <w:rPr>
          <w:b/>
          <w:u w:val="single"/>
        </w:rPr>
      </w:pPr>
    </w:p>
    <w:p w:rsidR="000161E1" w:rsidRPr="00A747F4" w:rsidRDefault="000161E1" w:rsidP="000161E1"/>
    <w:p w:rsidR="000161E1" w:rsidRDefault="000161E1" w:rsidP="000161E1">
      <w:pPr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■夜間支援体制</w:t>
      </w:r>
    </w:p>
    <w:p w:rsidR="000161E1" w:rsidRDefault="000161E1" w:rsidP="000161E1">
      <w:pPr>
        <w:widowControl/>
        <w:jc w:val="center"/>
        <w:rPr>
          <w:b/>
        </w:rPr>
      </w:pPr>
      <w:r>
        <w:rPr>
          <w:noProof/>
        </w:rPr>
        <w:drawing>
          <wp:inline distT="0" distB="0" distL="0" distR="0" wp14:anchorId="052A4D1C" wp14:editId="42DCDF8C">
            <wp:extent cx="5486400" cy="3200400"/>
            <wp:effectExtent l="0" t="0" r="0" b="0"/>
            <wp:docPr id="17" name="グラフ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161E1" w:rsidRDefault="000161E1">
      <w:pPr>
        <w:widowControl/>
        <w:jc w:val="left"/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br w:type="page"/>
      </w:r>
    </w:p>
    <w:p w:rsidR="00AB2313" w:rsidRDefault="00AB2313" w:rsidP="00AB2313">
      <w:pPr>
        <w:rPr>
          <w:b/>
          <w:bdr w:val="single" w:sz="4" w:space="0" w:color="auto"/>
        </w:rPr>
      </w:pPr>
    </w:p>
    <w:p w:rsidR="003E6D03" w:rsidRPr="00493DFE" w:rsidRDefault="003E6D03" w:rsidP="003E6D03">
      <w:pPr>
        <w:rPr>
          <w:b/>
        </w:rPr>
      </w:pPr>
      <w:r>
        <w:rPr>
          <w:rFonts w:hint="eastAsia"/>
          <w:b/>
        </w:rPr>
        <w:t>Ⅲ</w:t>
      </w:r>
      <w:r w:rsidRPr="00493DFE">
        <w:rPr>
          <w:rFonts w:hint="eastAsia"/>
          <w:b/>
        </w:rPr>
        <w:t>．</w:t>
      </w:r>
      <w:r>
        <w:rPr>
          <w:rFonts w:hint="eastAsia"/>
          <w:b/>
        </w:rPr>
        <w:t>消防法令関係の状況</w:t>
      </w:r>
    </w:p>
    <w:p w:rsidR="003E6D03" w:rsidRPr="003E6D03" w:rsidRDefault="003E6D03" w:rsidP="003E6D03"/>
    <w:p w:rsidR="003E6D03" w:rsidRDefault="003E6D03" w:rsidP="003E6D03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■用途区分</w:t>
      </w:r>
      <w:r w:rsidR="009D5977">
        <w:rPr>
          <w:rFonts w:hint="eastAsia"/>
          <w:b/>
          <w:u w:val="single"/>
        </w:rPr>
        <w:t>（事業者の回答）</w:t>
      </w:r>
    </w:p>
    <w:p w:rsidR="003E6D03" w:rsidRPr="00FE6458" w:rsidRDefault="003E6D03" w:rsidP="003E6D03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3F7C4D72" wp14:editId="1EB3ECC0">
            <wp:extent cx="2705100" cy="2562225"/>
            <wp:effectExtent l="0" t="0" r="0" b="0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37FCD2B" wp14:editId="58EEA6A3">
            <wp:extent cx="2275027" cy="2560320"/>
            <wp:effectExtent l="0" t="0" r="0" b="0"/>
            <wp:docPr id="9" name="グラフ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A54CC" w:rsidRDefault="00DA54CC" w:rsidP="00C933A1">
      <w:pPr>
        <w:widowControl/>
        <w:jc w:val="left"/>
      </w:pPr>
    </w:p>
    <w:p w:rsidR="004067A6" w:rsidRPr="003E6D03" w:rsidRDefault="004067A6" w:rsidP="004067A6"/>
    <w:p w:rsidR="004067A6" w:rsidRDefault="004067A6" w:rsidP="004067A6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054750">
        <w:rPr>
          <w:rFonts w:hint="eastAsia"/>
          <w:b/>
          <w:u w:val="single"/>
        </w:rPr>
        <w:t>重度障がい者（支援区分４以上）の入居割合</w:t>
      </w:r>
    </w:p>
    <w:p w:rsidR="004067A6" w:rsidRPr="00FE6458" w:rsidRDefault="004067A6" w:rsidP="004067A6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0138D185" wp14:editId="7BCA9D8D">
            <wp:extent cx="2705100" cy="2562225"/>
            <wp:effectExtent l="0" t="0" r="0" b="0"/>
            <wp:docPr id="10" name="グラフ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70B19F2" wp14:editId="6FEF112F">
            <wp:extent cx="2275027" cy="2560320"/>
            <wp:effectExtent l="0" t="0" r="0" b="0"/>
            <wp:docPr id="22" name="グラフ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067A6" w:rsidRDefault="004067A6">
      <w:pPr>
        <w:widowControl/>
        <w:jc w:val="left"/>
      </w:pPr>
      <w:r>
        <w:br w:type="page"/>
      </w:r>
    </w:p>
    <w:p w:rsidR="00360524" w:rsidRPr="003E6D03" w:rsidRDefault="00360524" w:rsidP="00C933A1">
      <w:pPr>
        <w:widowControl/>
        <w:jc w:val="left"/>
      </w:pPr>
    </w:p>
    <w:p w:rsidR="00DA54CC" w:rsidRDefault="00DA54CC" w:rsidP="00DA54CC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■スプリンクラー設備の設置状況</w:t>
      </w:r>
      <w:r w:rsidR="000839C8">
        <w:rPr>
          <w:rFonts w:hint="eastAsia"/>
          <w:b/>
          <w:u w:val="single"/>
        </w:rPr>
        <w:t>【</w:t>
      </w:r>
      <w:r>
        <w:rPr>
          <w:rFonts w:hint="eastAsia"/>
          <w:b/>
          <w:u w:val="single"/>
        </w:rPr>
        <w:t>275㎡未満の６項ロのみ</w:t>
      </w:r>
      <w:r w:rsidR="000839C8">
        <w:rPr>
          <w:rFonts w:hint="eastAsia"/>
          <w:b/>
          <w:u w:val="single"/>
        </w:rPr>
        <w:t>】</w:t>
      </w:r>
    </w:p>
    <w:p w:rsidR="00DA54CC" w:rsidRPr="00FE6458" w:rsidRDefault="00DA54CC" w:rsidP="00DA54CC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54F8F6C3" wp14:editId="6E1F7D44">
            <wp:extent cx="2705100" cy="2562225"/>
            <wp:effectExtent l="0" t="0" r="0" b="0"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9157F28" wp14:editId="58BBF945">
            <wp:extent cx="2275027" cy="2560320"/>
            <wp:effectExtent l="0" t="0" r="0" b="0"/>
            <wp:docPr id="12" name="グラフ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839C8" w:rsidRDefault="000839C8" w:rsidP="000839C8"/>
    <w:p w:rsidR="00BF4538" w:rsidRPr="003E6D03" w:rsidRDefault="00BF4538" w:rsidP="000839C8"/>
    <w:p w:rsidR="000839C8" w:rsidRDefault="000839C8" w:rsidP="000839C8">
      <w:pPr>
        <w:spacing w:after="100" w:afterAutospacing="1"/>
        <w:ind w:leftChars="100" w:left="240"/>
        <w:rPr>
          <w:b/>
          <w:u w:val="single"/>
        </w:rPr>
      </w:pPr>
      <w:r>
        <w:rPr>
          <w:rFonts w:hint="eastAsia"/>
          <w:b/>
          <w:u w:val="single"/>
        </w:rPr>
        <w:t>■火災通報装置（自火報と連動あり）【275㎡未満の６項ロのみ】</w:t>
      </w:r>
    </w:p>
    <w:p w:rsidR="000839C8" w:rsidRPr="00FE6458" w:rsidRDefault="000839C8" w:rsidP="000839C8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0BD3D8A1" wp14:editId="592A45BE">
            <wp:extent cx="2705100" cy="2562225"/>
            <wp:effectExtent l="0" t="0" r="0" b="0"/>
            <wp:docPr id="13" name="グラフ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45C27F23" wp14:editId="519437E2">
            <wp:extent cx="2275027" cy="2560320"/>
            <wp:effectExtent l="0" t="0" r="0" b="0"/>
            <wp:docPr id="14" name="グラフ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D5977" w:rsidRDefault="009D5977">
      <w:pPr>
        <w:widowControl/>
        <w:jc w:val="left"/>
      </w:pPr>
      <w:r>
        <w:br w:type="page"/>
      </w:r>
    </w:p>
    <w:p w:rsidR="003B7615" w:rsidRDefault="003B7615" w:rsidP="008B6A84">
      <w:pPr>
        <w:widowControl/>
        <w:jc w:val="left"/>
        <w:rPr>
          <w:b/>
          <w:u w:val="single"/>
        </w:rPr>
      </w:pPr>
    </w:p>
    <w:p w:rsidR="008B6A84" w:rsidRDefault="008B6A84" w:rsidP="00A73F99">
      <w:pPr>
        <w:widowControl/>
        <w:ind w:leftChars="100" w:left="240"/>
        <w:jc w:val="left"/>
        <w:rPr>
          <w:b/>
          <w:u w:val="single"/>
        </w:rPr>
      </w:pPr>
      <w:r>
        <w:rPr>
          <w:rFonts w:hint="eastAsia"/>
          <w:b/>
          <w:u w:val="single"/>
        </w:rPr>
        <w:t>■</w:t>
      </w:r>
      <w:r w:rsidR="003B7615">
        <w:rPr>
          <w:rFonts w:hint="eastAsia"/>
          <w:b/>
          <w:u w:val="single"/>
        </w:rPr>
        <w:t>自動</w:t>
      </w:r>
      <w:r>
        <w:rPr>
          <w:rFonts w:hint="eastAsia"/>
          <w:b/>
          <w:u w:val="single"/>
        </w:rPr>
        <w:t>火災</w:t>
      </w:r>
      <w:r w:rsidR="003B7615">
        <w:rPr>
          <w:rFonts w:hint="eastAsia"/>
          <w:b/>
          <w:u w:val="single"/>
        </w:rPr>
        <w:t>報知設備【275㎡未満のみ】</w:t>
      </w:r>
    </w:p>
    <w:p w:rsidR="00BF4538" w:rsidRPr="00FE6458" w:rsidRDefault="00BF4538" w:rsidP="00BF4538">
      <w:pPr>
        <w:rPr>
          <w:b/>
        </w:rPr>
      </w:pPr>
      <w:r>
        <w:rPr>
          <w:rFonts w:hint="eastAsia"/>
          <w:noProof/>
        </w:rPr>
        <w:drawing>
          <wp:inline distT="0" distB="0" distL="0" distR="0" wp14:anchorId="4BE4E7EC" wp14:editId="27A2263F">
            <wp:extent cx="2705100" cy="2562225"/>
            <wp:effectExtent l="0" t="0" r="0" b="0"/>
            <wp:docPr id="23" name="グラフ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63CAA95" wp14:editId="6068D00C">
            <wp:extent cx="2275027" cy="2560320"/>
            <wp:effectExtent l="0" t="0" r="0" b="0"/>
            <wp:docPr id="16" name="グラフ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A822FB" w:rsidRPr="00493DFE" w:rsidRDefault="008B6A84" w:rsidP="00504430">
      <w:pPr>
        <w:widowControl/>
        <w:jc w:val="center"/>
        <w:rPr>
          <w:b/>
        </w:rPr>
      </w:pPr>
      <w:r>
        <w:rPr>
          <w:noProof/>
        </w:rPr>
        <w:drawing>
          <wp:inline distT="0" distB="0" distL="0" distR="0" wp14:anchorId="517117C4" wp14:editId="7AA9A4D3">
            <wp:extent cx="5486400" cy="2281881"/>
            <wp:effectExtent l="0" t="0" r="0" b="0"/>
            <wp:docPr id="15" name="グラフ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sectPr w:rsidR="00A822FB" w:rsidRPr="00493DFE" w:rsidSect="00E8168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 w:code="9"/>
      <w:pgMar w:top="1418" w:right="1418" w:bottom="1418" w:left="1418" w:header="851" w:footer="680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30" w:rsidRDefault="00320230" w:rsidP="003C324E">
      <w:r>
        <w:separator/>
      </w:r>
    </w:p>
  </w:endnote>
  <w:endnote w:type="continuationSeparator" w:id="0">
    <w:p w:rsidR="00320230" w:rsidRDefault="00320230" w:rsidP="003C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CC" w:rsidRDefault="00DA54C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593470"/>
      <w:docPartObj>
        <w:docPartGallery w:val="Page Numbers (Bottom of Page)"/>
        <w:docPartUnique/>
      </w:docPartObj>
    </w:sdtPr>
    <w:sdtEndPr/>
    <w:sdtContent>
      <w:p w:rsidR="00DA54CC" w:rsidRDefault="00DA54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D25" w:rsidRPr="00030D25">
          <w:rPr>
            <w:noProof/>
            <w:lang w:val="ja-JP"/>
          </w:rPr>
          <w:t>1</w:t>
        </w:r>
        <w:r>
          <w:fldChar w:fldCharType="end"/>
        </w:r>
      </w:p>
    </w:sdtContent>
  </w:sdt>
  <w:p w:rsidR="00DA54CC" w:rsidRDefault="00DA54C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CC" w:rsidRDefault="00DA54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30" w:rsidRDefault="00320230" w:rsidP="003C324E">
      <w:r>
        <w:separator/>
      </w:r>
    </w:p>
  </w:footnote>
  <w:footnote w:type="continuationSeparator" w:id="0">
    <w:p w:rsidR="00320230" w:rsidRDefault="00320230" w:rsidP="003C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CC" w:rsidRDefault="00DA54C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CC" w:rsidRDefault="00DA54C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CC" w:rsidRDefault="00DA54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6BCF"/>
    <w:multiLevelType w:val="hybridMultilevel"/>
    <w:tmpl w:val="D940F866"/>
    <w:lvl w:ilvl="0" w:tplc="CC186A0C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C5A463E"/>
    <w:multiLevelType w:val="hybridMultilevel"/>
    <w:tmpl w:val="FE861C58"/>
    <w:lvl w:ilvl="0" w:tplc="F6D4B7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CE91609"/>
    <w:multiLevelType w:val="hybridMultilevel"/>
    <w:tmpl w:val="5D7EFE12"/>
    <w:lvl w:ilvl="0" w:tplc="0AFA6CDA">
      <w:start w:val="2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E8F5E0A"/>
    <w:multiLevelType w:val="hybridMultilevel"/>
    <w:tmpl w:val="330E1592"/>
    <w:lvl w:ilvl="0" w:tplc="008A04EC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3D241EA"/>
    <w:multiLevelType w:val="hybridMultilevel"/>
    <w:tmpl w:val="4DE6C3CC"/>
    <w:lvl w:ilvl="0" w:tplc="034CE540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40E0926"/>
    <w:multiLevelType w:val="hybridMultilevel"/>
    <w:tmpl w:val="4B4CF5E4"/>
    <w:lvl w:ilvl="0" w:tplc="44AE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D8F566">
      <w:start w:val="10"/>
      <w:numFmt w:val="decimal"/>
      <w:lvlText w:val="%2．"/>
      <w:lvlJc w:val="left"/>
      <w:pPr>
        <w:ind w:left="945" w:hanging="52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B6B195F"/>
    <w:multiLevelType w:val="hybridMultilevel"/>
    <w:tmpl w:val="4DCCF63C"/>
    <w:lvl w:ilvl="0" w:tplc="B0C87920">
      <w:start w:val="6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EB35ECB"/>
    <w:multiLevelType w:val="hybridMultilevel"/>
    <w:tmpl w:val="DF5EA9EE"/>
    <w:lvl w:ilvl="0" w:tplc="274AB6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25B3398"/>
    <w:multiLevelType w:val="hybridMultilevel"/>
    <w:tmpl w:val="BA8E890A"/>
    <w:lvl w:ilvl="0" w:tplc="BC325426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8B72194"/>
    <w:multiLevelType w:val="hybridMultilevel"/>
    <w:tmpl w:val="C400CC0C"/>
    <w:lvl w:ilvl="0" w:tplc="B48AA0D6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EEC4BE2"/>
    <w:multiLevelType w:val="hybridMultilevel"/>
    <w:tmpl w:val="DA242BBC"/>
    <w:lvl w:ilvl="0" w:tplc="3574EDFE">
      <w:start w:val="1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4E"/>
    <w:rsid w:val="000070D1"/>
    <w:rsid w:val="000161E1"/>
    <w:rsid w:val="00016A96"/>
    <w:rsid w:val="0002600F"/>
    <w:rsid w:val="00030CF3"/>
    <w:rsid w:val="00030D25"/>
    <w:rsid w:val="000376AD"/>
    <w:rsid w:val="00054750"/>
    <w:rsid w:val="00065BDC"/>
    <w:rsid w:val="00082756"/>
    <w:rsid w:val="000839C8"/>
    <w:rsid w:val="0008618D"/>
    <w:rsid w:val="00086AD0"/>
    <w:rsid w:val="00086F2E"/>
    <w:rsid w:val="00097638"/>
    <w:rsid w:val="000A340A"/>
    <w:rsid w:val="000A3F47"/>
    <w:rsid w:val="000B75CA"/>
    <w:rsid w:val="000D1EC3"/>
    <w:rsid w:val="000D699C"/>
    <w:rsid w:val="000E3945"/>
    <w:rsid w:val="000F4A12"/>
    <w:rsid w:val="0010012C"/>
    <w:rsid w:val="00103DCE"/>
    <w:rsid w:val="00123837"/>
    <w:rsid w:val="00137760"/>
    <w:rsid w:val="001379C2"/>
    <w:rsid w:val="0015543D"/>
    <w:rsid w:val="00157510"/>
    <w:rsid w:val="00175D77"/>
    <w:rsid w:val="0018039C"/>
    <w:rsid w:val="00195B02"/>
    <w:rsid w:val="00196D5E"/>
    <w:rsid w:val="0019743D"/>
    <w:rsid w:val="001A2B4A"/>
    <w:rsid w:val="001A4490"/>
    <w:rsid w:val="001B3AB3"/>
    <w:rsid w:val="001D2591"/>
    <w:rsid w:val="001F255A"/>
    <w:rsid w:val="001F2ED0"/>
    <w:rsid w:val="001F4081"/>
    <w:rsid w:val="001F6FA2"/>
    <w:rsid w:val="0020053B"/>
    <w:rsid w:val="0021039E"/>
    <w:rsid w:val="00211C3A"/>
    <w:rsid w:val="002143C7"/>
    <w:rsid w:val="00223043"/>
    <w:rsid w:val="0022317B"/>
    <w:rsid w:val="00224EE6"/>
    <w:rsid w:val="00225983"/>
    <w:rsid w:val="00226C38"/>
    <w:rsid w:val="00230BC8"/>
    <w:rsid w:val="00244196"/>
    <w:rsid w:val="00247F95"/>
    <w:rsid w:val="00252F62"/>
    <w:rsid w:val="0026796B"/>
    <w:rsid w:val="002A0001"/>
    <w:rsid w:val="002D1697"/>
    <w:rsid w:val="002E6DB7"/>
    <w:rsid w:val="002F41B0"/>
    <w:rsid w:val="002F59D0"/>
    <w:rsid w:val="002F5C6C"/>
    <w:rsid w:val="00305064"/>
    <w:rsid w:val="00310803"/>
    <w:rsid w:val="0031717F"/>
    <w:rsid w:val="00320230"/>
    <w:rsid w:val="00335925"/>
    <w:rsid w:val="00343976"/>
    <w:rsid w:val="003456FF"/>
    <w:rsid w:val="00356358"/>
    <w:rsid w:val="00360524"/>
    <w:rsid w:val="00362498"/>
    <w:rsid w:val="0038244A"/>
    <w:rsid w:val="003944E6"/>
    <w:rsid w:val="003A49CD"/>
    <w:rsid w:val="003B7615"/>
    <w:rsid w:val="003C0148"/>
    <w:rsid w:val="003C324E"/>
    <w:rsid w:val="003C4879"/>
    <w:rsid w:val="003D3BD0"/>
    <w:rsid w:val="003D76D7"/>
    <w:rsid w:val="003D7C2B"/>
    <w:rsid w:val="003E1083"/>
    <w:rsid w:val="003E2C21"/>
    <w:rsid w:val="003E6D03"/>
    <w:rsid w:val="004048A4"/>
    <w:rsid w:val="00404EC7"/>
    <w:rsid w:val="004067A6"/>
    <w:rsid w:val="00421B8A"/>
    <w:rsid w:val="00422DD8"/>
    <w:rsid w:val="004358BF"/>
    <w:rsid w:val="00441BFF"/>
    <w:rsid w:val="00451DDE"/>
    <w:rsid w:val="00452375"/>
    <w:rsid w:val="00453D00"/>
    <w:rsid w:val="00467EAF"/>
    <w:rsid w:val="00473E7B"/>
    <w:rsid w:val="00481D50"/>
    <w:rsid w:val="00493DFE"/>
    <w:rsid w:val="004A1D99"/>
    <w:rsid w:val="004A66D0"/>
    <w:rsid w:val="004B6C04"/>
    <w:rsid w:val="004B7716"/>
    <w:rsid w:val="004D04C6"/>
    <w:rsid w:val="004D608B"/>
    <w:rsid w:val="004E1D45"/>
    <w:rsid w:val="004E34D0"/>
    <w:rsid w:val="004E7D35"/>
    <w:rsid w:val="004F0D71"/>
    <w:rsid w:val="004F1279"/>
    <w:rsid w:val="00503A13"/>
    <w:rsid w:val="00504430"/>
    <w:rsid w:val="00506448"/>
    <w:rsid w:val="00537F02"/>
    <w:rsid w:val="00541B37"/>
    <w:rsid w:val="00562521"/>
    <w:rsid w:val="00570003"/>
    <w:rsid w:val="005B13B5"/>
    <w:rsid w:val="005B29A6"/>
    <w:rsid w:val="005B6FD9"/>
    <w:rsid w:val="005C7746"/>
    <w:rsid w:val="005D4C00"/>
    <w:rsid w:val="005F2761"/>
    <w:rsid w:val="005F3482"/>
    <w:rsid w:val="005F4275"/>
    <w:rsid w:val="005F568C"/>
    <w:rsid w:val="005F607A"/>
    <w:rsid w:val="006011B7"/>
    <w:rsid w:val="006018E7"/>
    <w:rsid w:val="0060351E"/>
    <w:rsid w:val="0061733B"/>
    <w:rsid w:val="00620D44"/>
    <w:rsid w:val="00636B6B"/>
    <w:rsid w:val="00637C23"/>
    <w:rsid w:val="0064059B"/>
    <w:rsid w:val="00640E80"/>
    <w:rsid w:val="006428DB"/>
    <w:rsid w:val="00643856"/>
    <w:rsid w:val="00644588"/>
    <w:rsid w:val="00657BDB"/>
    <w:rsid w:val="00665C91"/>
    <w:rsid w:val="00671F06"/>
    <w:rsid w:val="00680EDD"/>
    <w:rsid w:val="006A7960"/>
    <w:rsid w:val="006B0E4E"/>
    <w:rsid w:val="006B5C37"/>
    <w:rsid w:val="006C5EAC"/>
    <w:rsid w:val="006E62B8"/>
    <w:rsid w:val="006E68BB"/>
    <w:rsid w:val="006E7D36"/>
    <w:rsid w:val="00700462"/>
    <w:rsid w:val="00720E19"/>
    <w:rsid w:val="007328A3"/>
    <w:rsid w:val="00733136"/>
    <w:rsid w:val="00763274"/>
    <w:rsid w:val="0077043C"/>
    <w:rsid w:val="007B026B"/>
    <w:rsid w:val="007B32E7"/>
    <w:rsid w:val="007D53A9"/>
    <w:rsid w:val="00827A7A"/>
    <w:rsid w:val="0085495A"/>
    <w:rsid w:val="00867C8E"/>
    <w:rsid w:val="00885610"/>
    <w:rsid w:val="008925B4"/>
    <w:rsid w:val="008950DE"/>
    <w:rsid w:val="00895FFB"/>
    <w:rsid w:val="008A38C2"/>
    <w:rsid w:val="008B6A84"/>
    <w:rsid w:val="008D22BD"/>
    <w:rsid w:val="008D40EC"/>
    <w:rsid w:val="008E2D5B"/>
    <w:rsid w:val="009047F8"/>
    <w:rsid w:val="00912CFE"/>
    <w:rsid w:val="00917560"/>
    <w:rsid w:val="00934045"/>
    <w:rsid w:val="00937EF1"/>
    <w:rsid w:val="009444F2"/>
    <w:rsid w:val="00951ACF"/>
    <w:rsid w:val="00960657"/>
    <w:rsid w:val="00970AED"/>
    <w:rsid w:val="0098288E"/>
    <w:rsid w:val="009A4780"/>
    <w:rsid w:val="009B6E99"/>
    <w:rsid w:val="009B73A9"/>
    <w:rsid w:val="009B75D6"/>
    <w:rsid w:val="009D5977"/>
    <w:rsid w:val="009E5905"/>
    <w:rsid w:val="00A137B2"/>
    <w:rsid w:val="00A249B0"/>
    <w:rsid w:val="00A32392"/>
    <w:rsid w:val="00A45AAA"/>
    <w:rsid w:val="00A5307F"/>
    <w:rsid w:val="00A73F99"/>
    <w:rsid w:val="00A747F4"/>
    <w:rsid w:val="00A77205"/>
    <w:rsid w:val="00A80DCC"/>
    <w:rsid w:val="00A822FB"/>
    <w:rsid w:val="00A91A8E"/>
    <w:rsid w:val="00AB2313"/>
    <w:rsid w:val="00AC30AB"/>
    <w:rsid w:val="00AE07FF"/>
    <w:rsid w:val="00AE4C62"/>
    <w:rsid w:val="00AE7DD6"/>
    <w:rsid w:val="00AF282F"/>
    <w:rsid w:val="00B113B3"/>
    <w:rsid w:val="00B12709"/>
    <w:rsid w:val="00B22A5D"/>
    <w:rsid w:val="00B45CB5"/>
    <w:rsid w:val="00B653D5"/>
    <w:rsid w:val="00B71695"/>
    <w:rsid w:val="00B72612"/>
    <w:rsid w:val="00B76065"/>
    <w:rsid w:val="00B8041F"/>
    <w:rsid w:val="00B843F2"/>
    <w:rsid w:val="00B90619"/>
    <w:rsid w:val="00B91937"/>
    <w:rsid w:val="00B9481E"/>
    <w:rsid w:val="00B94952"/>
    <w:rsid w:val="00BA05E3"/>
    <w:rsid w:val="00BA1517"/>
    <w:rsid w:val="00BA4343"/>
    <w:rsid w:val="00BB2C21"/>
    <w:rsid w:val="00BC7AF2"/>
    <w:rsid w:val="00BD6E40"/>
    <w:rsid w:val="00BF2CE3"/>
    <w:rsid w:val="00BF4538"/>
    <w:rsid w:val="00BF717C"/>
    <w:rsid w:val="00C30E85"/>
    <w:rsid w:val="00C450BC"/>
    <w:rsid w:val="00C57977"/>
    <w:rsid w:val="00C61202"/>
    <w:rsid w:val="00C61CCF"/>
    <w:rsid w:val="00C67E65"/>
    <w:rsid w:val="00C7487E"/>
    <w:rsid w:val="00C933A1"/>
    <w:rsid w:val="00CA2928"/>
    <w:rsid w:val="00CC0D5D"/>
    <w:rsid w:val="00CD42EB"/>
    <w:rsid w:val="00CD4696"/>
    <w:rsid w:val="00CE75C5"/>
    <w:rsid w:val="00CF6632"/>
    <w:rsid w:val="00D1246E"/>
    <w:rsid w:val="00D22D46"/>
    <w:rsid w:val="00D2310D"/>
    <w:rsid w:val="00D23527"/>
    <w:rsid w:val="00D62AA3"/>
    <w:rsid w:val="00D6394A"/>
    <w:rsid w:val="00D63F12"/>
    <w:rsid w:val="00D65378"/>
    <w:rsid w:val="00D71695"/>
    <w:rsid w:val="00D731B5"/>
    <w:rsid w:val="00D86596"/>
    <w:rsid w:val="00D92A20"/>
    <w:rsid w:val="00DA54CC"/>
    <w:rsid w:val="00DA7D87"/>
    <w:rsid w:val="00DC17BA"/>
    <w:rsid w:val="00DC2B07"/>
    <w:rsid w:val="00DC4BF3"/>
    <w:rsid w:val="00E04AFE"/>
    <w:rsid w:val="00E2612B"/>
    <w:rsid w:val="00E27E8F"/>
    <w:rsid w:val="00E32055"/>
    <w:rsid w:val="00E630A7"/>
    <w:rsid w:val="00E700FE"/>
    <w:rsid w:val="00E74B42"/>
    <w:rsid w:val="00E8168D"/>
    <w:rsid w:val="00E816E8"/>
    <w:rsid w:val="00EA345A"/>
    <w:rsid w:val="00EA685A"/>
    <w:rsid w:val="00EB4EDE"/>
    <w:rsid w:val="00EB6AD0"/>
    <w:rsid w:val="00EC454F"/>
    <w:rsid w:val="00EE4C6C"/>
    <w:rsid w:val="00F01B1A"/>
    <w:rsid w:val="00F20FFF"/>
    <w:rsid w:val="00F22546"/>
    <w:rsid w:val="00F256B8"/>
    <w:rsid w:val="00F340EC"/>
    <w:rsid w:val="00F40794"/>
    <w:rsid w:val="00F70C68"/>
    <w:rsid w:val="00F72CA5"/>
    <w:rsid w:val="00F833AE"/>
    <w:rsid w:val="00FA703F"/>
    <w:rsid w:val="00FB0F94"/>
    <w:rsid w:val="00FD3D9F"/>
    <w:rsid w:val="00FE0A28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3D"/>
    <w:pPr>
      <w:widowControl w:val="0"/>
      <w:jc w:val="both"/>
    </w:pPr>
    <w:rPr>
      <w:rFonts w:ascii="HGPｺﾞｼｯｸM" w:eastAsia="HGP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3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32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3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24E"/>
  </w:style>
  <w:style w:type="paragraph" w:styleId="a8">
    <w:name w:val="footer"/>
    <w:basedOn w:val="a"/>
    <w:link w:val="a9"/>
    <w:uiPriority w:val="99"/>
    <w:unhideWhenUsed/>
    <w:rsid w:val="003C3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24E"/>
  </w:style>
  <w:style w:type="paragraph" w:styleId="Web">
    <w:name w:val="Normal (Web)"/>
    <w:basedOn w:val="a"/>
    <w:uiPriority w:val="99"/>
    <w:semiHidden/>
    <w:unhideWhenUsed/>
    <w:rsid w:val="00A530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3D"/>
    <w:pPr>
      <w:widowControl w:val="0"/>
      <w:jc w:val="both"/>
    </w:pPr>
    <w:rPr>
      <w:rFonts w:ascii="HGPｺﾞｼｯｸM" w:eastAsia="HGP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4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32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32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3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324E"/>
  </w:style>
  <w:style w:type="paragraph" w:styleId="a8">
    <w:name w:val="footer"/>
    <w:basedOn w:val="a"/>
    <w:link w:val="a9"/>
    <w:uiPriority w:val="99"/>
    <w:unhideWhenUsed/>
    <w:rsid w:val="003C3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324E"/>
  </w:style>
  <w:style w:type="paragraph" w:styleId="Web">
    <w:name w:val="Normal (Web)"/>
    <w:basedOn w:val="a"/>
    <w:uiPriority w:val="99"/>
    <w:semiHidden/>
    <w:unhideWhenUsed/>
    <w:rsid w:val="00A530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chart" Target="charts/chart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chart" Target="charts/chart23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20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otDmn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Pt>
            <c:idx val="2"/>
            <c:bubble3D val="0"/>
            <c:spPr>
              <a:pattFill prst="dotGrid">
                <a:fgClr>
                  <a:schemeClr val="accent2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3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3">
                    <a:lumMod val="75000"/>
                  </a:schemeClr>
                </a:solidFill>
              </a:ln>
            </c:spPr>
          </c:dPt>
          <c:dLbls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独立（戸建て形式）</c:v>
                </c:pt>
                <c:pt idx="1">
                  <c:v>集合（共同住宅形式・公的）</c:v>
                </c:pt>
                <c:pt idx="2">
                  <c:v>集合（共同住宅形式・民間）</c:v>
                </c:pt>
                <c:pt idx="3">
                  <c:v>その他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302</c:v>
                </c:pt>
                <c:pt idx="1">
                  <c:v>396</c:v>
                </c:pt>
                <c:pt idx="2">
                  <c:v>313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pattFill prst="dotGrid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区分</a:t>
                    </a:r>
                    <a:endParaRPr lang="en-US" altLang="ja-JP"/>
                  </a:p>
                  <a:p>
                    <a:r>
                      <a:rPr lang="ja-JP" altLang="en-US"/>
                      <a:t>なし
</a:t>
                    </a:r>
                    <a:r>
                      <a:rPr lang="en-US" altLang="ja-JP"/>
                      <a:t>1.9%</a:t>
                    </a:r>
                    <a:endParaRPr lang="ja-JP" alt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4636432692535055E-2"/>
                  <c:y val="-8.92193163354580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区分なし</c:v>
                </c:pt>
                <c:pt idx="1">
                  <c:v>区分１</c:v>
                </c:pt>
                <c:pt idx="2">
                  <c:v>区分２</c:v>
                </c:pt>
                <c:pt idx="3">
                  <c:v>区分３</c:v>
                </c:pt>
                <c:pt idx="4">
                  <c:v>区分４</c:v>
                </c:pt>
                <c:pt idx="5">
                  <c:v>区分５</c:v>
                </c:pt>
                <c:pt idx="6">
                  <c:v>区分６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65</c:v>
                </c:pt>
                <c:pt idx="1">
                  <c:v>64</c:v>
                </c:pt>
                <c:pt idx="2">
                  <c:v>560</c:v>
                </c:pt>
                <c:pt idx="3">
                  <c:v>799</c:v>
                </c:pt>
                <c:pt idx="4">
                  <c:v>812</c:v>
                </c:pt>
                <c:pt idx="5">
                  <c:v>644</c:v>
                </c:pt>
                <c:pt idx="6">
                  <c:v>556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pattFill prst="dotGrid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区分</a:t>
                    </a:r>
                    <a:endParaRPr lang="en-US" altLang="ja-JP"/>
                  </a:p>
                  <a:p>
                    <a:r>
                      <a:rPr lang="ja-JP" altLang="en-US"/>
                      <a:t>なし
</a:t>
                    </a:r>
                    <a:r>
                      <a:rPr lang="en-US" altLang="ja-JP"/>
                      <a:t>2.6%</a:t>
                    </a:r>
                    <a:endParaRPr lang="ja-JP" altLang="en-US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4636432692535055E-2"/>
                  <c:y val="-8.92193163354580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Sheet1!$A$2:$A$8</c:f>
              <c:strCache>
                <c:ptCount val="7"/>
                <c:pt idx="0">
                  <c:v>区分なし</c:v>
                </c:pt>
                <c:pt idx="1">
                  <c:v>区分１</c:v>
                </c:pt>
                <c:pt idx="2">
                  <c:v>区分２</c:v>
                </c:pt>
                <c:pt idx="3">
                  <c:v>区分３</c:v>
                </c:pt>
                <c:pt idx="4">
                  <c:v>区分４</c:v>
                </c:pt>
                <c:pt idx="5">
                  <c:v>区分５</c:v>
                </c:pt>
                <c:pt idx="6">
                  <c:v>区分６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22</c:v>
                </c:pt>
                <c:pt idx="1">
                  <c:v>24</c:v>
                </c:pt>
                <c:pt idx="2">
                  <c:v>182</c:v>
                </c:pt>
                <c:pt idx="3">
                  <c:v>214</c:v>
                </c:pt>
                <c:pt idx="4">
                  <c:v>210</c:v>
                </c:pt>
                <c:pt idx="5">
                  <c:v>132</c:v>
                </c:pt>
                <c:pt idx="6">
                  <c:v>64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4：1以上</c:v>
                </c:pt>
              </c:strCache>
            </c:strRef>
          </c:tx>
          <c:spPr>
            <a:pattFill prst="pct10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0.32587548638132297</c:v>
                </c:pt>
                <c:pt idx="1">
                  <c:v>0.54518950437317781</c:v>
                </c:pt>
                <c:pt idx="2">
                  <c:v>0.23540489642184556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４：１～６：１</c:v>
                </c:pt>
              </c:strCache>
            </c:strRef>
          </c:tx>
          <c:spPr>
            <a:pattFill prst="dotDmnd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0.13326848249027237</c:v>
                </c:pt>
                <c:pt idx="1">
                  <c:v>0.15743440233236153</c:v>
                </c:pt>
                <c:pt idx="2">
                  <c:v>0.128060263653484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６：１未満</c:v>
                </c:pt>
              </c:strCache>
            </c:strRef>
          </c:tx>
          <c:spPr>
            <a:pattFill prst="smCheck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3148148148148147E-3"/>
                  <c:y val="-4.75715700234575E-2"/>
                </c:manualLayout>
              </c:layout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2.3148148148148147E-3"/>
                  <c:y val="-4.7493243135709289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0.13035019455252919</c:v>
                </c:pt>
                <c:pt idx="1">
                  <c:v>0.14285714285714285</c:v>
                </c:pt>
                <c:pt idx="2">
                  <c:v>0.10546139359698682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未回答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ja-JP" altLang="en-US"/>
                      <a:t>未回答</a:t>
                    </a:r>
                    <a:r>
                      <a:rPr lang="en-US" altLang="ja-JP"/>
                      <a:t>,</a:t>
                    </a:r>
                  </a:p>
                  <a:p>
                    <a:r>
                      <a:rPr lang="en-US" altLang="ja-JP"/>
                      <a:t> 15.5%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b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0.41050583657587547</c:v>
                </c:pt>
                <c:pt idx="1">
                  <c:v>0.15451895043731778</c:v>
                </c:pt>
                <c:pt idx="2">
                  <c:v>0.53107344632768361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serLines/>
        <c:axId val="99407360"/>
        <c:axId val="99408896"/>
      </c:barChart>
      <c:catAx>
        <c:axId val="99407360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9408896"/>
        <c:crosses val="autoZero"/>
        <c:auto val="1"/>
        <c:lblAlgn val="ctr"/>
        <c:lblOffset val="100"/>
        <c:noMultiLvlLbl val="0"/>
      </c:catAx>
      <c:valAx>
        <c:axId val="99408896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940736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６項ロ</c:v>
                </c:pt>
                <c:pt idx="1">
                  <c:v>６項ハ</c:v>
                </c:pt>
                <c:pt idx="2">
                  <c:v>よくわからない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343</c:v>
                </c:pt>
                <c:pt idx="1">
                  <c:v>531</c:v>
                </c:pt>
                <c:pt idx="2">
                  <c:v>96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６項ロ</c:v>
                </c:pt>
                <c:pt idx="1">
                  <c:v>６項ハ</c:v>
                </c:pt>
                <c:pt idx="2">
                  <c:v>よくわからない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96</c:v>
                </c:pt>
                <c:pt idx="1">
                  <c:v>209</c:v>
                </c:pt>
                <c:pt idx="2">
                  <c:v>34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定員の８割超</c:v>
                </c:pt>
                <c:pt idx="1">
                  <c:v>定員の８割未満＆入居者の８割超</c:v>
                </c:pt>
                <c:pt idx="2">
                  <c:v>入居者の８割以下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269</c:v>
                </c:pt>
                <c:pt idx="1">
                  <c:v>50</c:v>
                </c:pt>
                <c:pt idx="2">
                  <c:v>686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0887245710958142E-2"/>
                  <c:y val="-4.9555263765979879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baseline="0">
                      <a:latin typeface="ＭＳ Ｐゴシック" panose="020B0600070205080204" pitchFamily="50" charset="-128"/>
                      <a:ea typeface="ＭＳ Ｐゴシック" panose="020B0600070205080204" pitchFamily="50" charset="-128"/>
                    </a:defRPr>
                  </a:pPr>
                  <a:endParaRPr lang="ja-JP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6.8004519618955026E-2"/>
                  <c:y val="-7.806498754082799E-7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1" baseline="0">
                      <a:latin typeface="ＭＳ Ｐゴシック" panose="020B0600070205080204" pitchFamily="50" charset="-128"/>
                      <a:ea typeface="ＭＳ Ｐゴシック" panose="020B0600070205080204" pitchFamily="50" charset="-128"/>
                    </a:defRPr>
                  </a:pPr>
                  <a:endParaRPr lang="ja-JP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numFmt formatCode="0.0%" sourceLinked="0"/>
              <c:spPr/>
              <c:txPr>
                <a:bodyPr/>
                <a:lstStyle/>
                <a:p>
                  <a:pPr>
                    <a:defRPr sz="900" b="1" baseline="0">
                      <a:latin typeface="ＭＳ Ｐゴシック" panose="020B0600070205080204" pitchFamily="50" charset="-128"/>
                      <a:ea typeface="ＭＳ Ｐゴシック" panose="020B0600070205080204" pitchFamily="50" charset="-128"/>
                    </a:defRPr>
                  </a:pPr>
                  <a:endParaRPr lang="ja-JP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定員の８割超</c:v>
                </c:pt>
                <c:pt idx="1">
                  <c:v>定員の８割未満＆入居者の８割超</c:v>
                </c:pt>
                <c:pt idx="2">
                  <c:v>入居者の８割以下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73</c:v>
                </c:pt>
                <c:pt idx="1">
                  <c:v>15</c:v>
                </c:pt>
                <c:pt idx="2">
                  <c:v>261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25.3%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89</c:v>
                </c:pt>
                <c:pt idx="1">
                  <c:v>82</c:v>
                </c:pt>
                <c:pt idx="2">
                  <c:v>153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34.4%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33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40.9%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112</c:v>
                </c:pt>
                <c:pt idx="1">
                  <c:v>121</c:v>
                </c:pt>
                <c:pt idx="2">
                  <c:v>63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20">
                <a:fgClr>
                  <a:schemeClr val="accent1"/>
                </a:fgClr>
                <a:bgClr>
                  <a:schemeClr val="bg1"/>
                </a:bgClr>
              </a:patt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pattFill prst="dotDmn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75000"/>
                  </a:schemeClr>
                </a:solidFill>
              </a:ln>
            </c:spPr>
          </c:dPt>
          <c:dLbls>
            <c:numFmt formatCode="0.0%" sourceLinked="0"/>
            <c:txPr>
              <a:bodyPr/>
              <a:lstStyle/>
              <a:p>
                <a:pPr>
                  <a:defRPr sz="12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Sheet1!$A$2:$A$3</c:f>
              <c:strCache>
                <c:ptCount val="2"/>
                <c:pt idx="0">
                  <c:v>所有</c:v>
                </c:pt>
                <c:pt idx="1">
                  <c:v>賃貸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160</c:v>
                </c:pt>
                <c:pt idx="1">
                  <c:v>867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60.5%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16</c:v>
                </c:pt>
                <c:pt idx="1">
                  <c:v>52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8153153153153067E-2"/>
                  <c:y val="-5.456349206349206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40.9%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592</c:v>
                </c:pt>
                <c:pt idx="1">
                  <c:v>149</c:v>
                </c:pt>
                <c:pt idx="2">
                  <c:v>191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</a:t>
                    </a:r>
                    <a:endParaRPr lang="en-US" altLang="ja-JP"/>
                  </a:p>
                  <a:p>
                    <a:r>
                      <a:rPr lang="ja-JP" altLang="en-US"/>
                      <a:t>予定
</a:t>
                    </a:r>
                    <a:r>
                      <a:rPr lang="en-US" altLang="ja-JP"/>
                      <a:t>24.1%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90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設置済</c:v>
                </c:pt>
                <c:pt idx="1">
                  <c:v>設置予定</c:v>
                </c:pt>
                <c:pt idx="2">
                  <c:v>設置困難・設置予定なし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152</c:v>
                </c:pt>
                <c:pt idx="1">
                  <c:v>78</c:v>
                </c:pt>
                <c:pt idx="2">
                  <c:v>93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設置済</c:v>
                </c:pt>
              </c:strCache>
            </c:strRef>
          </c:tx>
          <c:spPr>
            <a:pattFill prst="pct10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0.63519313304721026</c:v>
                </c:pt>
                <c:pt idx="1">
                  <c:v>0.78683385579937304</c:v>
                </c:pt>
                <c:pt idx="2">
                  <c:v>0.50413223140495866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設置予定</c:v>
                </c:pt>
              </c:strCache>
            </c:strRef>
          </c:tx>
          <c:spPr>
            <a:pattFill prst="dotDmnd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0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-2.7777777777777776E-2"/>
                  <c:y val="5.4678574386657327E-3"/>
                </c:manualLayout>
              </c:layout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0.15987124463519314</c:v>
                </c:pt>
                <c:pt idx="1">
                  <c:v>0.109717868338558</c:v>
                </c:pt>
                <c:pt idx="2">
                  <c:v>0.21900826446280991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設置困難・設置予定なし</c:v>
                </c:pt>
              </c:strCache>
            </c:strRef>
          </c:tx>
          <c:spPr>
            <a:pattFill prst="smCheck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ja-JP" altLang="en-US"/>
                      <a:t>設置困難・</a:t>
                    </a:r>
                    <a:endParaRPr lang="en-US" altLang="ja-JP"/>
                  </a:p>
                  <a:p>
                    <a:r>
                      <a:rPr lang="ja-JP" altLang="en-US"/>
                      <a:t>設置予定なし
</a:t>
                    </a:r>
                    <a:r>
                      <a:rPr lang="en-US" altLang="ja-JP"/>
                      <a:t>20.5%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1.8518518518518517E-2"/>
                  <c:y val="-6.1865627523959403E-3"/>
                </c:manualLayout>
              </c:layout>
              <c:tx>
                <c:rich>
                  <a:bodyPr/>
                  <a:lstStyle/>
                  <a:p>
                    <a:r>
                      <a:rPr lang="ja-JP" altLang="en-US"/>
                      <a:t>設置困難・</a:t>
                    </a:r>
                    <a:endParaRPr lang="en-US" altLang="ja-JP"/>
                  </a:p>
                  <a:p>
                    <a:r>
                      <a:rPr lang="ja-JP" altLang="en-US"/>
                      <a:t>設置予定なし
</a:t>
                    </a:r>
                    <a:r>
                      <a:rPr lang="en-US" altLang="ja-JP"/>
                      <a:t>10.3%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ja-JP" altLang="en-US"/>
                      <a:t>設置困難・</a:t>
                    </a:r>
                    <a:endParaRPr lang="en-US" altLang="ja-JP"/>
                  </a:p>
                  <a:p>
                    <a:r>
                      <a:rPr lang="ja-JP" altLang="en-US"/>
                      <a:t>設置予定なし
</a:t>
                    </a:r>
                    <a:r>
                      <a:rPr lang="en-US" altLang="ja-JP"/>
                      <a:t>27.7%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ja-JP" altLang="en-US" sz="1000"/>
                      <a:t>７人以上</a:t>
                    </a:r>
                    <a:r>
                      <a:rPr lang="en-US" altLang="ja-JP" sz="1000"/>
                      <a:t>,</a:t>
                    </a:r>
                  </a:p>
                  <a:p>
                    <a:r>
                      <a:rPr lang="en-US" altLang="ja-JP" sz="1000"/>
                      <a:t> 13.3%</a:t>
                    </a:r>
                    <a:endParaRPr lang="en-US" altLang="ja-JP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（６項ロ）</c:v>
                </c:pt>
                <c:pt idx="2">
                  <c:v>（６項ハ）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0.20493562231759657</c:v>
                </c:pt>
                <c:pt idx="1">
                  <c:v>0.10344827586206896</c:v>
                </c:pt>
                <c:pt idx="2">
                  <c:v>0.27685950413223143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serLines/>
        <c:axId val="110996096"/>
        <c:axId val="111006080"/>
      </c:barChart>
      <c:catAx>
        <c:axId val="110996096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111006080"/>
        <c:crosses val="autoZero"/>
        <c:auto val="1"/>
        <c:lblAlgn val="ctr"/>
        <c:lblOffset val="100"/>
        <c:noMultiLvlLbl val="0"/>
      </c:catAx>
      <c:valAx>
        <c:axId val="111006080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110996096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所有</c:v>
                </c:pt>
              </c:strCache>
            </c:strRef>
          </c:tx>
          <c:spPr>
            <a:pattFill prst="pct10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dLbl>
              <c:idx val="1"/>
              <c:layout>
                <c:manualLayout>
                  <c:x val="-2.3148148148148147E-2"/>
                  <c:y val="0.10317554055743028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2.0833333333333332E-2"/>
                  <c:y val="-0.10317304086989126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</c:dLbl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独立（戸建て形式）</c:v>
                </c:pt>
                <c:pt idx="1">
                  <c:v>集合（共同住宅形式・公的）</c:v>
                </c:pt>
                <c:pt idx="2">
                  <c:v>集合（共同住宅形式・民間）</c:v>
                </c:pt>
                <c:pt idx="3">
                  <c:v>その他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0.43046357615894038</c:v>
                </c:pt>
                <c:pt idx="1">
                  <c:v>0</c:v>
                </c:pt>
                <c:pt idx="2">
                  <c:v>6.3897763578274758E-2</c:v>
                </c:pt>
                <c:pt idx="3">
                  <c:v>0.66666666666666663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賃貸</c:v>
                </c:pt>
              </c:strCache>
            </c:strRef>
          </c:tx>
          <c:spPr>
            <a:pattFill prst="dotDmnd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独立（戸建て形式）</c:v>
                </c:pt>
                <c:pt idx="1">
                  <c:v>集合（共同住宅形式・公的）</c:v>
                </c:pt>
                <c:pt idx="2">
                  <c:v>集合（共同住宅形式・民間）</c:v>
                </c:pt>
                <c:pt idx="3">
                  <c:v>その他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0.56953642384105962</c:v>
                </c:pt>
                <c:pt idx="1">
                  <c:v>1</c:v>
                </c:pt>
                <c:pt idx="2">
                  <c:v>0.93610223642172519</c:v>
                </c:pt>
                <c:pt idx="3">
                  <c:v>0.33333333333333331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serLines/>
        <c:axId val="97670272"/>
        <c:axId val="97671808"/>
      </c:barChart>
      <c:catAx>
        <c:axId val="97670272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7671808"/>
        <c:crosses val="autoZero"/>
        <c:auto val="1"/>
        <c:lblAlgn val="ctr"/>
        <c:lblOffset val="100"/>
        <c:noMultiLvlLbl val="0"/>
      </c:catAx>
      <c:valAx>
        <c:axId val="97671808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7670272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４人以下</c:v>
                </c:pt>
              </c:strCache>
            </c:strRef>
          </c:tx>
          <c:spPr>
            <a:pattFill prst="pct10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Sheet1!$A$2:$A$5</c:f>
              <c:strCache>
                <c:ptCount val="4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  <c:pt idx="3">
                  <c:v>（その他）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0.76689520078354556</c:v>
                </c:pt>
                <c:pt idx="1">
                  <c:v>0.37086092715231789</c:v>
                </c:pt>
                <c:pt idx="2">
                  <c:v>0.93892045454545459</c:v>
                </c:pt>
                <c:pt idx="3">
                  <c:v>0.66666666666666663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５～６人</c:v>
                </c:pt>
              </c:strCache>
            </c:strRef>
          </c:tx>
          <c:spPr>
            <a:pattFill prst="dotDmnd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1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6.9444444444444441E-3"/>
                  <c:y val="6.7373917895322197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3"/>
              <c:tx>
                <c:rich>
                  <a:bodyPr/>
                  <a:lstStyle/>
                  <a:p>
                    <a:r>
                      <a:rPr lang="ja-JP" altLang="en-US"/>
                      <a:t>５～６人</a:t>
                    </a:r>
                    <a:r>
                      <a:rPr lang="en-US" altLang="ja-JP"/>
                      <a:t>,</a:t>
                    </a:r>
                  </a:p>
                  <a:p>
                    <a:r>
                      <a:rPr lang="en-US" altLang="ja-JP"/>
                      <a:t> 20.0%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Sheet1!$A$2:$A$5</c:f>
              <c:strCache>
                <c:ptCount val="4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  <c:pt idx="3">
                  <c:v>（その他）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0.14887365328109697</c:v>
                </c:pt>
                <c:pt idx="1">
                  <c:v>0.40066225165562913</c:v>
                </c:pt>
                <c:pt idx="2">
                  <c:v>3.9772727272727272E-2</c:v>
                </c:pt>
                <c:pt idx="3">
                  <c:v>0.2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７人以上</c:v>
                </c:pt>
              </c:strCache>
            </c:strRef>
          </c:tx>
          <c:spPr>
            <a:pattFill prst="smCheck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2.54629629629629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-7.1346421115479536E-2"/>
                </c:manualLayout>
              </c:layout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Sheet1!$A$2:$A$5</c:f>
              <c:strCache>
                <c:ptCount val="4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  <c:pt idx="3">
                  <c:v>（その他）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8.4231145935357493E-2</c:v>
                </c:pt>
                <c:pt idx="1">
                  <c:v>0.22847682119205298</c:v>
                </c:pt>
                <c:pt idx="2">
                  <c:v>2.130681818181818E-2</c:v>
                </c:pt>
                <c:pt idx="3">
                  <c:v>0.13333333333333333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serLines/>
        <c:axId val="98792960"/>
        <c:axId val="98794496"/>
      </c:barChart>
      <c:catAx>
        <c:axId val="98792960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8794496"/>
        <c:crosses val="autoZero"/>
        <c:auto val="1"/>
        <c:lblAlgn val="ctr"/>
        <c:lblOffset val="100"/>
        <c:noMultiLvlLbl val="0"/>
      </c:catAx>
      <c:valAx>
        <c:axId val="98794496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879296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100㎡未満</c:v>
                </c:pt>
              </c:strCache>
            </c:strRef>
          </c:tx>
          <c:spPr>
            <a:pattFill prst="pct10">
              <a:fgClr>
                <a:schemeClr val="accent1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numFmt formatCode="0.0%" sourceLinked="0"/>
            <c:txPr>
              <a:bodyPr/>
              <a:lstStyle/>
              <a:p>
                <a:pPr>
                  <a:defRPr sz="11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dLblPos val="ctr"/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0.74335378323108381</c:v>
                </c:pt>
                <c:pt idx="1">
                  <c:v>0.31141868512110726</c:v>
                </c:pt>
                <c:pt idx="2">
                  <c:v>0.92452830188679247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100～150㎡</c:v>
                </c:pt>
              </c:strCache>
            </c:strRef>
          </c:tx>
          <c:spPr>
            <a:pattFill prst="dotDmnd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 w="12700"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 sz="1100"/>
                      <a:t>100～</a:t>
                    </a:r>
                  </a:p>
                  <a:p>
                    <a:r>
                      <a:rPr lang="en-US" altLang="en-US" sz="1100"/>
                      <a:t>150㎡
11.8%</a:t>
                    </a:r>
                    <a:endParaRPr lang="en-US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 sz="1100"/>
                      <a:t>100～</a:t>
                    </a:r>
                  </a:p>
                  <a:p>
                    <a:r>
                      <a:rPr lang="en-US" altLang="en-US" sz="1100"/>
                      <a:t>150㎡
30.4%</a:t>
                    </a:r>
                    <a:endParaRPr lang="en-US" altLang="en-US"/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en-US"/>
                      <a:t>100～</a:t>
                    </a:r>
                  </a:p>
                  <a:p>
                    <a:r>
                      <a:rPr lang="en-US" altLang="en-US"/>
                      <a:t>150㎡
3.9%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0.11758691206543967</c:v>
                </c:pt>
                <c:pt idx="1">
                  <c:v>0.30449826989619377</c:v>
                </c:pt>
                <c:pt idx="2">
                  <c:v>3.9187227866473148E-2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150～200㎡</c:v>
                </c:pt>
              </c:strCache>
            </c:strRef>
          </c:tx>
          <c:spPr>
            <a:pattFill prst="smCheck">
              <a:fgClr>
                <a:schemeClr val="accent3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3">
                  <a:lumMod val="75000"/>
                </a:schemeClr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ja-JP" sz="1100"/>
                      <a:t>150</a:t>
                    </a:r>
                    <a:r>
                      <a:rPr lang="ja-JP" altLang="en-US" sz="1100"/>
                      <a:t>～</a:t>
                    </a:r>
                    <a:endParaRPr lang="en-US" altLang="ja-JP" sz="1100"/>
                  </a:p>
                  <a:p>
                    <a:r>
                      <a:rPr lang="en-US" altLang="ja-JP" sz="1100"/>
                      <a:t>200㎡
5.5%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ja-JP"/>
                      <a:t>150</a:t>
                    </a:r>
                    <a:r>
                      <a:rPr lang="ja-JP" altLang="en-US"/>
                      <a:t>～</a:t>
                    </a:r>
                    <a:endParaRPr lang="en-US" altLang="ja-JP"/>
                  </a:p>
                  <a:p>
                    <a:r>
                      <a:rPr lang="en-US" altLang="ja-JP"/>
                      <a:t>200㎡
17.0%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delete val="1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5.5214723926380369E-2</c:v>
                </c:pt>
                <c:pt idx="1">
                  <c:v>0.16955017301038061</c:v>
                </c:pt>
                <c:pt idx="2">
                  <c:v>7.2568940493468797E-3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200～275㎡</c:v>
                </c:pt>
              </c:strCache>
            </c:strRef>
          </c:tx>
          <c:spPr>
            <a:pattFill prst="dkVert">
              <a:fgClr>
                <a:srgbClr val="FFFF00"/>
              </a:fgClr>
              <a:bgClr>
                <a:schemeClr val="bg1"/>
              </a:bgClr>
            </a:pattFill>
            <a:ln>
              <a:solidFill>
                <a:schemeClr val="accent2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0"/>
                  <c:y val="0.1228577901575213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/>
                      <a:t>200～</a:t>
                    </a:r>
                  </a:p>
                  <a:p>
                    <a:r>
                      <a:rPr lang="en-US" altLang="en-US"/>
                      <a:t>275㎡
14.2%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dLbl>
              <c:idx val="2"/>
              <c:delete val="1"/>
            </c:dLbl>
            <c:numFmt formatCode="0.0%" sourceLinked="0"/>
            <c:txPr>
              <a:bodyPr/>
              <a:lstStyle/>
              <a:p>
                <a:pPr>
                  <a:defRPr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4.7034764826175871E-2</c:v>
                </c:pt>
                <c:pt idx="1">
                  <c:v>0.14186851211072665</c:v>
                </c:pt>
                <c:pt idx="2">
                  <c:v>7.2568940493468797E-3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275㎡以上</c:v>
                </c:pt>
              </c:strCache>
            </c:strRef>
          </c:tx>
          <c:spPr>
            <a:pattFill prst="openDmnd">
              <a:fgClr>
                <a:srgbClr val="7030A0"/>
              </a:fgClr>
              <a:bgClr>
                <a:schemeClr val="bg1"/>
              </a:bgClr>
            </a:pattFill>
            <a:ln>
              <a:solidFill>
                <a:srgbClr val="7030A0"/>
              </a:solidFill>
            </a:ln>
          </c:spPr>
          <c:invertIfNegative val="0"/>
          <c:dLbls>
            <c:dLbl>
              <c:idx val="0"/>
              <c:layout>
                <c:manualLayout>
                  <c:x val="2.3148148148148147E-3"/>
                  <c:y val="-0.126820632619320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ja-JP"/>
                      <a:t>275㎡</a:t>
                    </a:r>
                  </a:p>
                  <a:p>
                    <a:r>
                      <a:rPr lang="ja-JP" altLang="en-US"/>
                      <a:t>以上
</a:t>
                    </a:r>
                    <a:r>
                      <a:rPr lang="en-US" altLang="ja-JP"/>
                      <a:t>7.3%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separator>
</c:separator>
            </c:dLbl>
            <c:dLbl>
              <c:idx val="2"/>
              <c:delete val="1"/>
            </c:dLbl>
            <c:numFmt formatCode="0.0%" sourceLinked="0"/>
            <c:txPr>
              <a:bodyPr/>
              <a:lstStyle/>
              <a:p>
                <a:pPr>
                  <a:defRPr b="1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1"/>
            <c:showPercent val="0"/>
            <c:showBubbleSize val="0"/>
            <c:separator>
</c:separator>
            <c:showLeaderLines val="0"/>
          </c:dLbls>
          <c:cat>
            <c:strRef>
              <c:f>Sheet1!$A$2:$A$4</c:f>
              <c:strCache>
                <c:ptCount val="3"/>
                <c:pt idx="0">
                  <c:v>【全体】</c:v>
                </c:pt>
                <c:pt idx="1">
                  <c:v>（独立）</c:v>
                </c:pt>
                <c:pt idx="2">
                  <c:v>（集合）</c:v>
                </c:pt>
              </c:strCache>
            </c:strRef>
          </c:cat>
          <c:val>
            <c:numRef>
              <c:f>Sheet1!$F$2:$F$4</c:f>
              <c:numCache>
                <c:formatCode>General</c:formatCode>
                <c:ptCount val="3"/>
                <c:pt idx="0">
                  <c:v>3.6809815950920248E-2</c:v>
                </c:pt>
                <c:pt idx="1">
                  <c:v>7.2664359861591699E-2</c:v>
                </c:pt>
                <c:pt idx="2">
                  <c:v>2.1770682148040638E-2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serLines/>
        <c:axId val="98857344"/>
        <c:axId val="98858880"/>
      </c:barChart>
      <c:catAx>
        <c:axId val="98857344"/>
        <c:scaling>
          <c:orientation val="maxMin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8858880"/>
        <c:crosses val="autoZero"/>
        <c:auto val="1"/>
        <c:lblAlgn val="ctr"/>
        <c:lblOffset val="100"/>
        <c:noMultiLvlLbl val="0"/>
      </c:catAx>
      <c:valAx>
        <c:axId val="98858880"/>
        <c:scaling>
          <c:orientation val="minMax"/>
        </c:scaling>
        <c:delete val="0"/>
        <c:axPos val="t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ＭＳ Ｐゴシック" panose="020B0600070205080204" pitchFamily="50" charset="-128"/>
                <a:ea typeface="ＭＳ Ｐゴシック" panose="020B0600070205080204" pitchFamily="50" charset="-128"/>
              </a:defRPr>
            </a:pPr>
            <a:endParaRPr lang="ja-JP"/>
          </a:p>
        </c:txPr>
        <c:crossAx val="9885734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6524607042680429E-3"/>
                  <c:y val="-4.992646278173631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１階建</c:v>
                </c:pt>
                <c:pt idx="1">
                  <c:v>２階建</c:v>
                </c:pt>
                <c:pt idx="2">
                  <c:v>３階建以上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206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１階建</c:v>
                </c:pt>
                <c:pt idx="1">
                  <c:v>２階建</c:v>
                </c:pt>
                <c:pt idx="2">
                  <c:v>３階建以上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102</c:v>
                </c:pt>
                <c:pt idx="2">
                  <c:v>28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5.0994501599708794E-2"/>
          <c:w val="0.86984695575024951"/>
          <c:h val="0.90159319501120749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住居数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4.6524607042680429E-3"/>
                  <c:y val="-4.9926462781736316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2938523529627068E-4"/>
                  <c:y val="-4.956629491945386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ja-JP" altLang="en-US"/>
                      <a:t>４階</a:t>
                    </a:r>
                    <a:endParaRPr lang="en-US" altLang="ja-JP"/>
                  </a:p>
                  <a:p>
                    <a:r>
                      <a:rPr lang="ja-JP" altLang="en-US"/>
                      <a:t>以上
</a:t>
                    </a:r>
                    <a:r>
                      <a:rPr lang="en-US" altLang="ja-JP"/>
                      <a:t>32.5%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１階</c:v>
                </c:pt>
                <c:pt idx="1">
                  <c:v>２階</c:v>
                </c:pt>
                <c:pt idx="2">
                  <c:v>３階</c:v>
                </c:pt>
                <c:pt idx="3">
                  <c:v>４階以上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199</c:v>
                </c:pt>
                <c:pt idx="1">
                  <c:v>173</c:v>
                </c:pt>
                <c:pt idx="2">
                  <c:v>95</c:v>
                </c:pt>
                <c:pt idx="3">
                  <c:v>225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318213744408713E-2"/>
          <c:y val="0.18482334689576443"/>
          <c:w val="0.85499808755061402"/>
          <c:h val="0.75957419385076863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人数</c:v>
                </c:pt>
              </c:strCache>
            </c:strRef>
          </c:tx>
          <c:spPr>
            <a:pattFill prst="pct20">
              <a:fgClr>
                <a:schemeClr val="accent1"/>
              </a:fgClr>
              <a:bgClr>
                <a:schemeClr val="bg1"/>
              </a:bgClr>
            </a:pattFill>
            <a:ln>
              <a:solidFill>
                <a:schemeClr val="accent2">
                  <a:lumMod val="60000"/>
                  <a:lumOff val="40000"/>
                </a:schemeClr>
              </a:solidFill>
            </a:ln>
          </c:spPr>
          <c:dPt>
            <c:idx val="0"/>
            <c:bubble3D val="0"/>
            <c:spPr>
              <a:pattFill prst="pct3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1"/>
            <c:bubble3D val="0"/>
            <c:spPr>
              <a:pattFill prst="pct20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noFill/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pattFill prst="smCheck">
                <a:fgClr>
                  <a:schemeClr val="accent1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4"/>
            <c:bubble3D val="0"/>
            <c:spPr>
              <a:pattFill prst="pct20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5"/>
            <c:bubble3D val="0"/>
            <c:spPr>
              <a:pattFill prst="dotGrid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Pt>
            <c:idx val="6"/>
            <c:bubble3D val="0"/>
            <c:spPr>
              <a:pattFill prst="smCheck">
                <a:fgClr>
                  <a:schemeClr val="accent2">
                    <a:lumMod val="60000"/>
                    <a:lumOff val="40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2">
                    <a:lumMod val="60000"/>
                    <a:lumOff val="4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9.3843843843843845E-3"/>
                  <c:y val="2.480158730158732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5781855719917855E-2"/>
                  <c:y val="4.956239206158619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ja-JP" altLang="en-US"/>
                      <a:t>４階</a:t>
                    </a:r>
                    <a:endParaRPr lang="en-US" altLang="ja-JP"/>
                  </a:p>
                  <a:p>
                    <a:r>
                      <a:rPr lang="ja-JP" altLang="en-US"/>
                      <a:t>以上
</a:t>
                    </a:r>
                    <a:r>
                      <a:rPr lang="en-US" altLang="ja-JP"/>
                      <a:t>27.0%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9.8428608306932341E-2"/>
                  <c:y val="-7.93433486176452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050" b="1" baseline="0">
                    <a:latin typeface="ＭＳ Ｐゴシック" panose="020B0600070205080204" pitchFamily="50" charset="-128"/>
                    <a:ea typeface="ＭＳ Ｐゴシック" panose="020B0600070205080204" pitchFamily="50" charset="-128"/>
                  </a:defRPr>
                </a:pPr>
                <a:endParaRPr lang="ja-JP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１階</c:v>
                </c:pt>
                <c:pt idx="1">
                  <c:v>２階</c:v>
                </c:pt>
                <c:pt idx="2">
                  <c:v>３階</c:v>
                </c:pt>
                <c:pt idx="3">
                  <c:v>４階以上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67</c:v>
                </c:pt>
                <c:pt idx="1">
                  <c:v>38</c:v>
                </c:pt>
                <c:pt idx="2">
                  <c:v>25</c:v>
                </c:pt>
                <c:pt idx="3">
                  <c:v>48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0.33498</cdr:x>
      <cdr:y>0.3614</cdr:y>
    </cdr:from>
    <cdr:to>
      <cdr:x>0.66244</cdr:x>
      <cdr:y>0.60766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906166" y="925996"/>
          <a:ext cx="885812" cy="6309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0"/>
        <a:lstStyle xmlns:a="http://schemas.openxmlformats.org/drawingml/2006/main"/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住宅形式</a:t>
          </a:r>
          <a:endParaRPr lang="en-US" altLang="ja-JP" sz="1400" b="1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  <a:p xmlns:a="http://schemas.openxmlformats.org/drawingml/2006/main">
          <a:pPr algn="ctr"/>
          <a:r>
            <a:rPr lang="en-US" altLang="ja-JP" sz="1200" b="0">
              <a:latin typeface="Century Gothic" panose="020B0502020202020204" pitchFamily="34" charset="0"/>
              <a:ea typeface="ＭＳ Ｐゴシック" panose="020B0600070205080204" pitchFamily="50" charset="-128"/>
            </a:rPr>
            <a:t>〔1,026〕</a:t>
          </a:r>
          <a:endParaRPr lang="ja-JP" altLang="en-US" sz="1200" b="0">
            <a:latin typeface="Century Gothic" panose="020B0502020202020204" pitchFamily="34" charset="0"/>
            <a:ea typeface="ＭＳ Ｐゴシック" panose="020B0600070205080204" pitchFamily="50" charset="-128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0.33803</cdr:x>
      <cdr:y>0.39224</cdr:y>
    </cdr:from>
    <cdr:to>
      <cdr:x>0.66549</cdr:x>
      <cdr:y>0.62373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914405" y="1005017"/>
          <a:ext cx="885812" cy="5931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0"/>
        <a:lstStyle xmlns:a="http://schemas.openxmlformats.org/drawingml/2006/main"/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所有関係</a:t>
          </a:r>
          <a:endParaRPr lang="en-US" altLang="ja-JP" sz="1400" b="1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  <a:p xmlns:a="http://schemas.openxmlformats.org/drawingml/2006/main">
          <a:pPr algn="ctr"/>
          <a:r>
            <a:rPr lang="en-US" altLang="ja-JP" sz="1200" b="0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〔1,027〕</a:t>
          </a:r>
          <a:endParaRPr lang="ja-JP" altLang="en-US" sz="1200" b="0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６項ロのみ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６項ロのみ（抜粋）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0.33498</cdr:x>
      <cdr:y>0.38146</cdr:y>
    </cdr:from>
    <cdr:to>
      <cdr:x>0.66244</cdr:x>
      <cdr:y>0.6013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906167" y="977396"/>
          <a:ext cx="885812" cy="5632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0"/>
        <a:lstStyle xmlns:a="http://schemas.openxmlformats.org/drawingml/2006/main"/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平均</a:t>
          </a:r>
          <a:endParaRPr lang="en-US" altLang="ja-JP" sz="1400" b="1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３．８２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0.32671</cdr:x>
      <cdr:y>0.44967</cdr:y>
    </cdr:from>
    <cdr:to>
      <cdr:x>0.65417</cdr:x>
      <cdr:y>0.66951</cdr:y>
    </cdr:to>
    <cdr:sp macro="" textlink="">
      <cdr:nvSpPr>
        <cdr:cNvPr id="2" name="テキスト ボックス 1"/>
        <cdr:cNvSpPr txBox="1"/>
      </cdr:nvSpPr>
      <cdr:spPr>
        <a:xfrm xmlns:a="http://schemas.openxmlformats.org/drawingml/2006/main">
          <a:off x="743125" y="1151299"/>
          <a:ext cx="744830" cy="5628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0"/>
        <a:lstStyle xmlns:a="http://schemas.openxmlformats.org/drawingml/2006/main"/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平均</a:t>
          </a:r>
          <a:endParaRPr lang="en-US" altLang="ja-JP" sz="1400" b="1">
            <a:latin typeface="ＭＳ Ｐゴシック" panose="020B0600070205080204" pitchFamily="50" charset="-128"/>
            <a:ea typeface="ＭＳ Ｐゴシック" panose="020B0600070205080204" pitchFamily="50" charset="-128"/>
          </a:endParaRPr>
        </a:p>
        <a:p xmlns:a="http://schemas.openxmlformats.org/drawingml/2006/main">
          <a:pPr algn="ctr"/>
          <a:r>
            <a:rPr lang="ja-JP" altLang="en-US" sz="1400" b="1">
              <a:latin typeface="ＭＳ Ｐゴシック" panose="020B0600070205080204" pitchFamily="50" charset="-128"/>
              <a:ea typeface="ＭＳ Ｐゴシック" panose="020B0600070205080204" pitchFamily="50" charset="-128"/>
            </a:rPr>
            <a:t>３．４４</a:t>
          </a:r>
        </a:p>
      </cdr:txBody>
    </cdr:sp>
  </cdr:relSizeAnchor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0.2838</cdr:x>
      <cdr:y>0.48519</cdr:y>
    </cdr:from>
    <cdr:to>
      <cdr:x>0.61126</cdr:x>
      <cdr:y>0.70503</cdr:y>
    </cdr:to>
    <cdr:sp macro="" textlink="">
      <cdr:nvSpPr>
        <cdr:cNvPr id="3" name="テキスト ボックス 1"/>
        <cdr:cNvSpPr txBox="1"/>
      </cdr:nvSpPr>
      <cdr:spPr>
        <a:xfrm xmlns:a="http://schemas.openxmlformats.org/drawingml/2006/main">
          <a:off x="767695" y="1243170"/>
          <a:ext cx="885812" cy="563280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0.04458</cdr:x>
      <cdr:y>0.04854</cdr:y>
    </cdr:from>
    <cdr:to>
      <cdr:x>0.9391</cdr:x>
      <cdr:y>0.11991</cdr:y>
    </cdr:to>
    <cdr:sp macro="" textlink="">
      <cdr:nvSpPr>
        <cdr:cNvPr id="4" name="テキスト ボックス 3"/>
        <cdr:cNvSpPr txBox="1"/>
      </cdr:nvSpPr>
      <cdr:spPr>
        <a:xfrm xmlns:a="http://schemas.openxmlformats.org/drawingml/2006/main">
          <a:off x="101403" y="124266"/>
          <a:ext cx="2034635" cy="1827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 anchor="ctr" anchorCtr="1"/>
        <a:lstStyle xmlns:a="http://schemas.openxmlformats.org/drawingml/2006/main"/>
        <a:p xmlns:a="http://schemas.openxmlformats.org/drawingml/2006/main">
          <a:r>
            <a:rPr lang="en-US" altLang="ja-JP" sz="1100"/>
            <a:t>【</a:t>
          </a:r>
          <a:r>
            <a:rPr lang="ja-JP" altLang="en-US" sz="1100"/>
            <a:t>府営住宅活用ＧＨ（抜粋）</a:t>
          </a:r>
          <a:r>
            <a:rPr lang="en-US" altLang="ja-JP" sz="1100"/>
            <a:t>】</a:t>
          </a:r>
          <a:endParaRPr lang="ja-JP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BA94-CFFE-4717-9DCD-8B9B7B9A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2017-03-22T00:30:00Z</cp:lastPrinted>
  <dcterms:created xsi:type="dcterms:W3CDTF">2017-05-30T00:46:00Z</dcterms:created>
  <dcterms:modified xsi:type="dcterms:W3CDTF">2017-05-30T00:46:00Z</dcterms:modified>
</cp:coreProperties>
</file>