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CA" w:rsidRDefault="004F1BCA" w:rsidP="004F1BCA">
      <w:pPr>
        <w:spacing w:line="0" w:lineRule="atLeast"/>
        <w:jc w:val="center"/>
        <w:rPr>
          <w:rFonts w:ascii="HGPｺﾞｼｯｸM" w:eastAsia="HGPｺﾞｼｯｸM" w:hint="eastAsia"/>
          <w:b/>
          <w:sz w:val="32"/>
        </w:rPr>
      </w:pPr>
      <w:bookmarkStart w:id="0" w:name="_GoBack"/>
      <w:bookmarkEnd w:id="0"/>
      <w:r w:rsidRPr="0046615B">
        <w:rPr>
          <w:rFonts w:ascii="HGPｺﾞｼｯｸM" w:eastAsia="HGPｺﾞｼｯｸM" w:hint="eastAsia"/>
          <w:b/>
          <w:sz w:val="32"/>
        </w:rPr>
        <w:t>平成２７年度精神科病院職員研修【院内研修】の概要</w:t>
      </w:r>
    </w:p>
    <w:p w:rsidR="00BA7C33" w:rsidRPr="0046615B" w:rsidRDefault="00BA7C33" w:rsidP="004F1BCA">
      <w:pPr>
        <w:spacing w:line="0" w:lineRule="atLeast"/>
        <w:jc w:val="center"/>
        <w:rPr>
          <w:rFonts w:ascii="HGPｺﾞｼｯｸM" w:eastAsia="HGPｺﾞｼｯｸM"/>
          <w:b/>
          <w:sz w:val="18"/>
          <w:szCs w:val="18"/>
        </w:rPr>
      </w:pPr>
    </w:p>
    <w:tbl>
      <w:tblPr>
        <w:tblStyle w:val="a3"/>
        <w:tblW w:w="9464" w:type="dxa"/>
        <w:tblLook w:val="04A0" w:firstRow="1" w:lastRow="0" w:firstColumn="1" w:lastColumn="0" w:noHBand="0" w:noVBand="1"/>
      </w:tblPr>
      <w:tblGrid>
        <w:gridCol w:w="1809"/>
        <w:gridCol w:w="7655"/>
      </w:tblGrid>
      <w:tr w:rsidR="004F1BCA" w:rsidRPr="0046615B" w:rsidTr="007D34DD">
        <w:trPr>
          <w:trHeight w:val="1659"/>
        </w:trPr>
        <w:tc>
          <w:tcPr>
            <w:tcW w:w="1809" w:type="dxa"/>
            <w:vAlign w:val="center"/>
          </w:tcPr>
          <w:p w:rsidR="004F1BCA" w:rsidRPr="0046615B" w:rsidRDefault="004F1BCA" w:rsidP="007D34DD">
            <w:pPr>
              <w:spacing w:line="0" w:lineRule="atLeast"/>
              <w:jc w:val="center"/>
              <w:rPr>
                <w:rFonts w:ascii="HGPｺﾞｼｯｸM" w:eastAsia="HGPｺﾞｼｯｸM"/>
                <w:b/>
                <w:sz w:val="22"/>
              </w:rPr>
            </w:pPr>
            <w:r w:rsidRPr="0046615B">
              <w:rPr>
                <w:rFonts w:ascii="HGPｺﾞｼｯｸM" w:eastAsia="HGPｺﾞｼｯｸM" w:hint="eastAsia"/>
                <w:b/>
                <w:sz w:val="22"/>
              </w:rPr>
              <w:t>研修内容</w:t>
            </w:r>
          </w:p>
        </w:tc>
        <w:tc>
          <w:tcPr>
            <w:tcW w:w="7655" w:type="dxa"/>
            <w:vAlign w:val="center"/>
          </w:tcPr>
          <w:p w:rsidR="004F1BCA" w:rsidRPr="0046615B" w:rsidRDefault="004F1BCA" w:rsidP="007D34DD">
            <w:pPr>
              <w:spacing w:line="0" w:lineRule="atLeast"/>
              <w:rPr>
                <w:rFonts w:ascii="HGPｺﾞｼｯｸM" w:eastAsia="HGPｺﾞｼｯｸM"/>
                <w:b/>
                <w:sz w:val="22"/>
              </w:rPr>
            </w:pPr>
            <w:r w:rsidRPr="0046615B">
              <w:rPr>
                <w:rFonts w:ascii="HGPｺﾞｼｯｸM" w:eastAsia="HGPｺﾞｼｯｸM" w:hint="eastAsia"/>
                <w:b/>
                <w:sz w:val="22"/>
              </w:rPr>
              <w:t>【座学】</w:t>
            </w:r>
          </w:p>
          <w:p w:rsidR="004F1BCA" w:rsidRPr="0046615B" w:rsidRDefault="004F1BCA" w:rsidP="007D34DD">
            <w:pPr>
              <w:spacing w:line="0" w:lineRule="atLeast"/>
              <w:ind w:left="663" w:hangingChars="300" w:hanging="663"/>
              <w:rPr>
                <w:rFonts w:ascii="HGPｺﾞｼｯｸM" w:eastAsia="HGPｺﾞｼｯｸM"/>
                <w:b/>
                <w:sz w:val="22"/>
              </w:rPr>
            </w:pPr>
            <w:r w:rsidRPr="0046615B">
              <w:rPr>
                <w:rFonts w:ascii="HGPｺﾞｼｯｸM" w:eastAsia="HGPｺﾞｼｯｸM" w:hint="eastAsia"/>
                <w:b/>
                <w:sz w:val="22"/>
              </w:rPr>
              <w:t xml:space="preserve">　講師：精神障がい者地域移行アドバイザー、市町村職員（担当者）、基幹相談支援センター職員、保健所職員、相談支援事業所職員、ピアサポーターなど</w:t>
            </w:r>
          </w:p>
          <w:p w:rsidR="004F1BCA" w:rsidRDefault="004F1BCA" w:rsidP="007D34DD">
            <w:pPr>
              <w:spacing w:line="0" w:lineRule="atLeast"/>
              <w:ind w:left="773" w:hangingChars="350" w:hanging="773"/>
              <w:rPr>
                <w:rFonts w:ascii="HGPｺﾞｼｯｸM" w:eastAsia="HGPｺﾞｼｯｸM"/>
                <w:b/>
                <w:sz w:val="22"/>
              </w:rPr>
            </w:pPr>
            <w:r w:rsidRPr="0046615B">
              <w:rPr>
                <w:rFonts w:ascii="HGPｺﾞｼｯｸM" w:eastAsia="HGPｺﾞｼｯｸM" w:hint="eastAsia"/>
                <w:b/>
                <w:sz w:val="22"/>
              </w:rPr>
              <w:t xml:space="preserve"> 内容：地域移行とは何か、地域移行支援制度の仕組み、福祉サービスの説明、 </w:t>
            </w:r>
          </w:p>
          <w:p w:rsidR="004F1BCA" w:rsidRPr="0046615B" w:rsidRDefault="004F1BCA" w:rsidP="004F1BCA">
            <w:pPr>
              <w:spacing w:line="0" w:lineRule="atLeast"/>
              <w:ind w:leftChars="250" w:left="821" w:hangingChars="100" w:hanging="221"/>
              <w:rPr>
                <w:rFonts w:ascii="HGPｺﾞｼｯｸM" w:eastAsia="HGPｺﾞｼｯｸM"/>
                <w:b/>
                <w:sz w:val="22"/>
              </w:rPr>
            </w:pPr>
            <w:r w:rsidRPr="0046615B">
              <w:rPr>
                <w:rFonts w:ascii="HGPｺﾞｼｯｸM" w:eastAsia="HGPｺﾞｼｯｸM" w:hint="eastAsia"/>
                <w:b/>
                <w:sz w:val="22"/>
              </w:rPr>
              <w:t xml:space="preserve"> ピアサポーターによる体験談発表など</w:t>
            </w:r>
          </w:p>
          <w:p w:rsidR="004F1BCA" w:rsidRPr="0046615B" w:rsidRDefault="004F1BCA" w:rsidP="007D34DD">
            <w:pPr>
              <w:spacing w:line="0" w:lineRule="atLeast"/>
              <w:ind w:left="773" w:hangingChars="350" w:hanging="773"/>
              <w:rPr>
                <w:rFonts w:ascii="HGPｺﾞｼｯｸM" w:eastAsia="HGPｺﾞｼｯｸM"/>
                <w:b/>
                <w:sz w:val="22"/>
              </w:rPr>
            </w:pPr>
            <w:r w:rsidRPr="0046615B">
              <w:rPr>
                <w:rFonts w:ascii="HGPｺﾞｼｯｸM" w:eastAsia="HGPｺﾞｼｯｸM" w:hint="eastAsia"/>
                <w:b/>
                <w:sz w:val="22"/>
              </w:rPr>
              <w:t>【施設等見学】</w:t>
            </w:r>
          </w:p>
          <w:p w:rsidR="004F1BCA" w:rsidRPr="0046615B" w:rsidRDefault="004F1BCA" w:rsidP="007D34DD">
            <w:pPr>
              <w:spacing w:line="0" w:lineRule="atLeast"/>
              <w:ind w:left="994" w:hangingChars="450" w:hanging="994"/>
              <w:rPr>
                <w:rFonts w:ascii="HGPｺﾞｼｯｸM" w:eastAsia="HGPｺﾞｼｯｸM"/>
                <w:b/>
                <w:sz w:val="22"/>
              </w:rPr>
            </w:pPr>
            <w:r w:rsidRPr="0046615B">
              <w:rPr>
                <w:rFonts w:ascii="HGPｺﾞｼｯｸM" w:eastAsia="HGPｺﾞｼｯｸM" w:hint="eastAsia"/>
                <w:b/>
                <w:sz w:val="22"/>
              </w:rPr>
              <w:t xml:space="preserve">　見学先：グループホーム、地域活動支援センター、就労継続Ｂ型事業所、生活訓練事業所、救護施設、外泊体験施設など</w:t>
            </w:r>
          </w:p>
        </w:tc>
      </w:tr>
    </w:tbl>
    <w:p w:rsidR="004F1BCA" w:rsidRDefault="004F1BCA" w:rsidP="004F1BCA">
      <w:pPr>
        <w:spacing w:line="0" w:lineRule="atLeast"/>
        <w:rPr>
          <w:rFonts w:ascii="HGPｺﾞｼｯｸM" w:eastAsia="HGPｺﾞｼｯｸM"/>
          <w:b/>
          <w:u w:val="single"/>
        </w:rPr>
      </w:pPr>
    </w:p>
    <w:p w:rsidR="004F1BCA" w:rsidRPr="0046615B" w:rsidRDefault="004F1BCA" w:rsidP="004F1BCA">
      <w:pPr>
        <w:spacing w:line="0" w:lineRule="atLeast"/>
        <w:rPr>
          <w:rFonts w:ascii="HGPｺﾞｼｯｸM" w:eastAsia="HGPｺﾞｼｯｸM"/>
          <w:b/>
          <w:u w:val="single"/>
        </w:rPr>
      </w:pPr>
      <w:r w:rsidRPr="0046615B">
        <w:rPr>
          <w:rFonts w:ascii="HGPｺﾞｼｯｸM" w:eastAsia="HGPｺﾞｼｯｸM" w:hint="eastAsia"/>
          <w:b/>
          <w:u w:val="single"/>
        </w:rPr>
        <w:t>■受講者アンケートの集計結果</w:t>
      </w:r>
    </w:p>
    <w:p w:rsidR="004F1BCA" w:rsidRPr="0046615B" w:rsidRDefault="004F1BCA" w:rsidP="004F1BCA">
      <w:pPr>
        <w:spacing w:line="0" w:lineRule="atLeast"/>
        <w:rPr>
          <w:rFonts w:ascii="HGPｺﾞｼｯｸM" w:eastAsia="HGPｺﾞｼｯｸM"/>
          <w:sz w:val="22"/>
        </w:rPr>
      </w:pPr>
      <w:r w:rsidRPr="0046615B">
        <w:rPr>
          <w:rFonts w:ascii="HGPｺﾞｼｯｸM" w:eastAsia="HGPｺﾞｼｯｸM" w:hint="eastAsia"/>
          <w:sz w:val="22"/>
        </w:rPr>
        <w:t>〔回収率〕　９３６人／１，００２人＝９３．４％</w:t>
      </w:r>
    </w:p>
    <w:p w:rsidR="004F1BCA" w:rsidRPr="00FC2739" w:rsidRDefault="004F1BCA" w:rsidP="004F1BCA">
      <w:pPr>
        <w:spacing w:line="0" w:lineRule="atLeast"/>
        <w:rPr>
          <w:rFonts w:ascii="HGPｺﾞｼｯｸM" w:eastAsia="HGPｺﾞｼｯｸM" w:hAnsi="ＭＳ 明朝" w:cs="ＭＳ 明朝"/>
          <w:sz w:val="22"/>
        </w:rPr>
      </w:pPr>
      <w:r w:rsidRPr="0046615B">
        <w:rPr>
          <w:rFonts w:ascii="HGPｺﾞｼｯｸM" w:eastAsia="HGPｺﾞｼｯｸM" w:hint="eastAsia"/>
          <w:sz w:val="22"/>
        </w:rPr>
        <w:t xml:space="preserve">　　　</w:t>
      </w:r>
      <w:r w:rsidRPr="00FC2739">
        <w:rPr>
          <w:rFonts w:ascii="HGPｺﾞｼｯｸM" w:eastAsia="HGPｺﾞｼｯｸM" w:hint="eastAsia"/>
          <w:sz w:val="22"/>
        </w:rPr>
        <w:t>研修実施病院数　　　：</w:t>
      </w:r>
      <w:r w:rsidRPr="00FC2739">
        <w:rPr>
          <w:rFonts w:ascii="HGPｺﾞｼｯｸM" w:eastAsia="HGPｺﾞｼｯｸM" w:hAnsi="ＭＳ 明朝" w:cs="ＭＳ 明朝" w:hint="eastAsia"/>
          <w:sz w:val="22"/>
        </w:rPr>
        <w:t>２５　　受講者数：　１，１８１人</w:t>
      </w:r>
    </w:p>
    <w:p w:rsidR="004F1BCA" w:rsidRPr="00FC2739" w:rsidRDefault="004F1BCA" w:rsidP="004F1BCA">
      <w:pPr>
        <w:spacing w:line="0" w:lineRule="atLeast"/>
        <w:rPr>
          <w:rFonts w:ascii="HGPｺﾞｼｯｸM" w:eastAsia="HGPｺﾞｼｯｸM" w:hAnsi="ＭＳ 明朝" w:cs="ＭＳ 明朝"/>
          <w:sz w:val="22"/>
        </w:rPr>
      </w:pPr>
      <w:r w:rsidRPr="00FC2739">
        <w:rPr>
          <w:rFonts w:ascii="HGPｺﾞｼｯｸM" w:eastAsia="HGPｺﾞｼｯｸM" w:hAnsi="ＭＳ 明朝" w:cs="ＭＳ 明朝" w:hint="eastAsia"/>
          <w:sz w:val="22"/>
        </w:rPr>
        <w:t xml:space="preserve">　　アンケート実施病院数</w:t>
      </w:r>
      <w:r>
        <w:rPr>
          <w:rFonts w:ascii="HGPｺﾞｼｯｸM" w:eastAsia="HGPｺﾞｼｯｸM" w:hAnsi="ＭＳ 明朝" w:cs="ＭＳ 明朝" w:hint="eastAsia"/>
          <w:sz w:val="22"/>
        </w:rPr>
        <w:t xml:space="preserve"> </w:t>
      </w:r>
      <w:r w:rsidRPr="00FC2739">
        <w:rPr>
          <w:rFonts w:ascii="HGPｺﾞｼｯｸM" w:eastAsia="HGPｺﾞｼｯｸM" w:hAnsi="ＭＳ 明朝" w:cs="ＭＳ 明朝" w:hint="eastAsia"/>
          <w:sz w:val="22"/>
        </w:rPr>
        <w:t>：２４　　受講者数</w:t>
      </w:r>
      <w:r>
        <w:rPr>
          <w:rFonts w:ascii="HGPｺﾞｼｯｸM" w:eastAsia="HGPｺﾞｼｯｸM" w:hAnsi="ＭＳ 明朝" w:cs="ＭＳ 明朝" w:hint="eastAsia"/>
          <w:sz w:val="22"/>
        </w:rPr>
        <w:t xml:space="preserve"> </w:t>
      </w:r>
      <w:r w:rsidRPr="00FC2739">
        <w:rPr>
          <w:rFonts w:ascii="HGPｺﾞｼｯｸM" w:eastAsia="HGPｺﾞｼｯｸM" w:hAnsi="ＭＳ 明朝" w:cs="ＭＳ 明朝" w:hint="eastAsia"/>
          <w:sz w:val="22"/>
        </w:rPr>
        <w:t>: １，００２人</w:t>
      </w:r>
    </w:p>
    <w:p w:rsidR="004F1BCA" w:rsidRPr="0046615B" w:rsidRDefault="004F1BCA" w:rsidP="004F1BCA">
      <w:pPr>
        <w:spacing w:line="0" w:lineRule="atLeast"/>
        <w:rPr>
          <w:rFonts w:ascii="HGPｺﾞｼｯｸM" w:eastAsia="HGPｺﾞｼｯｸM"/>
        </w:rPr>
      </w:pPr>
      <w:r w:rsidRPr="0046615B">
        <w:rPr>
          <w:rFonts w:ascii="HGPｺﾞｼｯｸM" w:eastAsia="HGPｺﾞｼｯｸM" w:hint="eastAsia"/>
        </w:rPr>
        <w:t>〔回答者の属性〕</w:t>
      </w:r>
    </w:p>
    <w:tbl>
      <w:tblPr>
        <w:tblW w:w="9247"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908"/>
        <w:gridCol w:w="850"/>
        <w:gridCol w:w="992"/>
        <w:gridCol w:w="993"/>
        <w:gridCol w:w="992"/>
        <w:gridCol w:w="1134"/>
        <w:gridCol w:w="963"/>
        <w:gridCol w:w="992"/>
      </w:tblGrid>
      <w:tr w:rsidR="004F1BCA" w:rsidRPr="0046615B" w:rsidTr="007D34DD">
        <w:trPr>
          <w:trHeight w:val="270"/>
          <w:jc w:val="center"/>
        </w:trPr>
        <w:tc>
          <w:tcPr>
            <w:tcW w:w="1423" w:type="dxa"/>
            <w:shd w:val="clear" w:color="DCE6F1" w:fill="DCE6F1"/>
            <w:noWrap/>
            <w:vAlign w:val="center"/>
            <w:hideMark/>
          </w:tcPr>
          <w:p w:rsidR="004F1BCA" w:rsidRPr="0046615B" w:rsidRDefault="004F1BCA" w:rsidP="007D34DD">
            <w:pPr>
              <w:widowControl/>
              <w:snapToGrid w:val="0"/>
              <w:spacing w:line="0" w:lineRule="atLeast"/>
              <w:jc w:val="right"/>
              <w:rPr>
                <w:rFonts w:ascii="ＭＳ Ｐゴシック" w:eastAsia="ＭＳ Ｐゴシック" w:hAnsi="ＭＳ Ｐゴシック" w:cs="ＭＳ Ｐゴシック"/>
                <w:bCs/>
                <w:kern w:val="0"/>
                <w:sz w:val="22"/>
              </w:rPr>
            </w:pPr>
            <w:r w:rsidRPr="0046615B">
              <w:rPr>
                <w:rFonts w:ascii="ＭＳ Ｐゴシック" w:eastAsia="ＭＳ Ｐゴシック" w:hAnsi="ＭＳ Ｐゴシック" w:cs="ＭＳ Ｐゴシック" w:hint="eastAsia"/>
                <w:bCs/>
                <w:kern w:val="0"/>
                <w:sz w:val="22"/>
              </w:rPr>
              <w:t>経験年数</w:t>
            </w:r>
          </w:p>
          <w:p w:rsidR="004F1BCA" w:rsidRPr="0046615B" w:rsidRDefault="004F1BCA" w:rsidP="007D34DD">
            <w:pPr>
              <w:widowControl/>
              <w:snapToGrid w:val="0"/>
              <w:spacing w:line="0" w:lineRule="atLeast"/>
              <w:jc w:val="left"/>
              <w:rPr>
                <w:rFonts w:ascii="ＭＳ Ｐゴシック" w:eastAsia="ＭＳ Ｐゴシック" w:hAnsi="ＭＳ Ｐゴシック" w:cs="ＭＳ Ｐゴシック"/>
                <w:bCs/>
                <w:kern w:val="0"/>
                <w:sz w:val="22"/>
              </w:rPr>
            </w:pPr>
            <w:r w:rsidRPr="0046615B">
              <w:rPr>
                <w:rFonts w:ascii="ＭＳ Ｐゴシック" w:eastAsia="ＭＳ Ｐゴシック" w:hAnsi="ＭＳ Ｐゴシック" w:cs="ＭＳ Ｐゴシック" w:hint="eastAsia"/>
                <w:bCs/>
                <w:kern w:val="0"/>
                <w:sz w:val="22"/>
              </w:rPr>
              <w:t>職種</w:t>
            </w:r>
          </w:p>
        </w:tc>
        <w:tc>
          <w:tcPr>
            <w:tcW w:w="908" w:type="dxa"/>
            <w:shd w:val="clear" w:color="DCE6F1" w:fill="DCE6F1"/>
            <w:noWrap/>
            <w:vAlign w:val="center"/>
            <w:hideMark/>
          </w:tcPr>
          <w:p w:rsidR="004F1BCA" w:rsidRPr="0046615B" w:rsidRDefault="004F1BCA" w:rsidP="004F1BCA">
            <w:pPr>
              <w:widowControl/>
              <w:snapToGrid w:val="0"/>
              <w:spacing w:line="0" w:lineRule="atLeast"/>
              <w:ind w:rightChars="50" w:right="12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5年</w:t>
            </w:r>
          </w:p>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未満</w:t>
            </w:r>
          </w:p>
        </w:tc>
        <w:tc>
          <w:tcPr>
            <w:tcW w:w="850" w:type="dxa"/>
            <w:shd w:val="clear" w:color="DCE6F1" w:fill="DCE6F1"/>
            <w:noWrap/>
            <w:vAlign w:val="center"/>
            <w:hideMark/>
          </w:tcPr>
          <w:p w:rsidR="004F1BCA" w:rsidRPr="0046615B" w:rsidRDefault="004F1BCA" w:rsidP="004F1BCA">
            <w:pPr>
              <w:widowControl/>
              <w:snapToGrid w:val="0"/>
              <w:spacing w:line="0" w:lineRule="atLeast"/>
              <w:ind w:rightChars="50" w:right="12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5～</w:t>
            </w:r>
          </w:p>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9年</w:t>
            </w:r>
          </w:p>
        </w:tc>
        <w:tc>
          <w:tcPr>
            <w:tcW w:w="992" w:type="dxa"/>
            <w:shd w:val="clear" w:color="DCE6F1" w:fill="DCE6F1"/>
            <w:noWrap/>
            <w:vAlign w:val="center"/>
            <w:hideMark/>
          </w:tcPr>
          <w:p w:rsidR="004F1BCA" w:rsidRPr="0046615B" w:rsidRDefault="004F1BCA" w:rsidP="004F1BCA">
            <w:pPr>
              <w:widowControl/>
              <w:snapToGrid w:val="0"/>
              <w:spacing w:line="0" w:lineRule="atLeast"/>
              <w:ind w:rightChars="50" w:right="12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10～</w:t>
            </w:r>
          </w:p>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14年</w:t>
            </w:r>
          </w:p>
        </w:tc>
        <w:tc>
          <w:tcPr>
            <w:tcW w:w="993" w:type="dxa"/>
            <w:shd w:val="clear" w:color="DCE6F1" w:fill="DCE6F1"/>
            <w:noWrap/>
            <w:vAlign w:val="center"/>
            <w:hideMark/>
          </w:tcPr>
          <w:p w:rsidR="004F1BCA" w:rsidRPr="0046615B" w:rsidRDefault="004F1BCA" w:rsidP="004F1BCA">
            <w:pPr>
              <w:widowControl/>
              <w:snapToGrid w:val="0"/>
              <w:spacing w:line="0" w:lineRule="atLeast"/>
              <w:ind w:rightChars="50" w:right="12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15～</w:t>
            </w:r>
          </w:p>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19年</w:t>
            </w:r>
          </w:p>
        </w:tc>
        <w:tc>
          <w:tcPr>
            <w:tcW w:w="992" w:type="dxa"/>
            <w:shd w:val="clear" w:color="DCE6F1" w:fill="DCE6F1"/>
            <w:noWrap/>
            <w:vAlign w:val="center"/>
            <w:hideMark/>
          </w:tcPr>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20年</w:t>
            </w:r>
          </w:p>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以上</w:t>
            </w:r>
          </w:p>
        </w:tc>
        <w:tc>
          <w:tcPr>
            <w:tcW w:w="1134" w:type="dxa"/>
            <w:shd w:val="clear" w:color="DCE6F1" w:fill="DCE6F1"/>
            <w:noWrap/>
            <w:vAlign w:val="center"/>
            <w:hideMark/>
          </w:tcPr>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無回答</w:t>
            </w:r>
          </w:p>
        </w:tc>
        <w:tc>
          <w:tcPr>
            <w:tcW w:w="1955" w:type="dxa"/>
            <w:gridSpan w:val="2"/>
            <w:shd w:val="clear" w:color="DCE6F1" w:fill="DCE6F1"/>
            <w:noWrap/>
            <w:vAlign w:val="center"/>
            <w:hideMark/>
          </w:tcPr>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計</w:t>
            </w:r>
          </w:p>
        </w:tc>
      </w:tr>
      <w:tr w:rsidR="004F1BCA" w:rsidRPr="0046615B" w:rsidTr="007D34DD">
        <w:trPr>
          <w:trHeight w:val="270"/>
          <w:jc w:val="center"/>
        </w:trPr>
        <w:tc>
          <w:tcPr>
            <w:tcW w:w="1423" w:type="dxa"/>
            <w:shd w:val="clear" w:color="auto" w:fill="auto"/>
            <w:noWrap/>
            <w:vAlign w:val="center"/>
            <w:hideMark/>
          </w:tcPr>
          <w:p w:rsidR="004F1BCA" w:rsidRPr="0046615B" w:rsidRDefault="004F1BCA" w:rsidP="004F1BCA">
            <w:pPr>
              <w:widowControl/>
              <w:snapToGrid w:val="0"/>
              <w:spacing w:line="0" w:lineRule="atLeast"/>
              <w:ind w:leftChars="50" w:left="120"/>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医師</w:t>
            </w:r>
          </w:p>
        </w:tc>
        <w:tc>
          <w:tcPr>
            <w:tcW w:w="908" w:type="dxa"/>
            <w:shd w:val="clear" w:color="auto" w:fill="auto"/>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5</w:t>
            </w:r>
          </w:p>
        </w:tc>
        <w:tc>
          <w:tcPr>
            <w:tcW w:w="993"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26</w:t>
            </w:r>
          </w:p>
        </w:tc>
        <w:tc>
          <w:tcPr>
            <w:tcW w:w="992" w:type="dxa"/>
            <w:tcBorders>
              <w:left w:val="dotted" w:sz="4" w:space="0" w:color="auto"/>
            </w:tcBorders>
            <w:shd w:val="clear" w:color="auto" w:fill="auto"/>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2.8%</w:t>
            </w:r>
          </w:p>
        </w:tc>
      </w:tr>
      <w:tr w:rsidR="004F1BCA" w:rsidRPr="0046615B" w:rsidTr="007D34DD">
        <w:trPr>
          <w:trHeight w:val="270"/>
          <w:jc w:val="center"/>
        </w:trPr>
        <w:tc>
          <w:tcPr>
            <w:tcW w:w="1423" w:type="dxa"/>
            <w:shd w:val="clear" w:color="auto" w:fill="auto"/>
            <w:noWrap/>
            <w:vAlign w:val="center"/>
            <w:hideMark/>
          </w:tcPr>
          <w:p w:rsidR="004F1BCA" w:rsidRPr="0046615B" w:rsidRDefault="004F1BCA" w:rsidP="004F1BCA">
            <w:pPr>
              <w:widowControl/>
              <w:snapToGrid w:val="0"/>
              <w:spacing w:line="0" w:lineRule="atLeast"/>
              <w:ind w:leftChars="50" w:left="120"/>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看護師</w:t>
            </w:r>
          </w:p>
        </w:tc>
        <w:tc>
          <w:tcPr>
            <w:tcW w:w="908" w:type="dxa"/>
            <w:shd w:val="clear" w:color="auto" w:fill="auto"/>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91</w:t>
            </w:r>
          </w:p>
        </w:tc>
        <w:tc>
          <w:tcPr>
            <w:tcW w:w="850"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66</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45</w:t>
            </w:r>
          </w:p>
        </w:tc>
        <w:tc>
          <w:tcPr>
            <w:tcW w:w="993"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73</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132</w:t>
            </w:r>
          </w:p>
        </w:tc>
        <w:tc>
          <w:tcPr>
            <w:tcW w:w="1134"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60</w:t>
            </w:r>
          </w:p>
        </w:tc>
        <w:tc>
          <w:tcPr>
            <w:tcW w:w="963" w:type="dxa"/>
            <w:tcBorders>
              <w:right w:val="dotted" w:sz="4" w:space="0" w:color="auto"/>
            </w:tcBorders>
            <w:shd w:val="clear" w:color="auto" w:fill="auto"/>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467</w:t>
            </w:r>
          </w:p>
        </w:tc>
        <w:tc>
          <w:tcPr>
            <w:tcW w:w="992" w:type="dxa"/>
            <w:tcBorders>
              <w:left w:val="dotted" w:sz="4" w:space="0" w:color="auto"/>
            </w:tcBorders>
            <w:shd w:val="clear" w:color="auto" w:fill="auto"/>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49.9%</w:t>
            </w:r>
          </w:p>
        </w:tc>
      </w:tr>
      <w:tr w:rsidR="004F1BCA" w:rsidRPr="0046615B" w:rsidTr="007D34DD">
        <w:trPr>
          <w:trHeight w:val="270"/>
          <w:jc w:val="center"/>
        </w:trPr>
        <w:tc>
          <w:tcPr>
            <w:tcW w:w="1423" w:type="dxa"/>
            <w:shd w:val="clear" w:color="auto" w:fill="auto"/>
            <w:noWrap/>
            <w:vAlign w:val="center"/>
            <w:hideMark/>
          </w:tcPr>
          <w:p w:rsidR="004F1BCA" w:rsidRPr="0046615B" w:rsidRDefault="004F1BCA" w:rsidP="004F1BCA">
            <w:pPr>
              <w:widowControl/>
              <w:snapToGrid w:val="0"/>
              <w:spacing w:line="0" w:lineRule="atLeast"/>
              <w:ind w:leftChars="50" w:left="120"/>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作業療法士</w:t>
            </w:r>
          </w:p>
        </w:tc>
        <w:tc>
          <w:tcPr>
            <w:tcW w:w="908" w:type="dxa"/>
            <w:shd w:val="clear" w:color="auto" w:fill="auto"/>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17</w:t>
            </w:r>
          </w:p>
        </w:tc>
        <w:tc>
          <w:tcPr>
            <w:tcW w:w="850"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29</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18</w:t>
            </w:r>
          </w:p>
        </w:tc>
        <w:tc>
          <w:tcPr>
            <w:tcW w:w="993"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9</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81</w:t>
            </w:r>
          </w:p>
        </w:tc>
        <w:tc>
          <w:tcPr>
            <w:tcW w:w="992" w:type="dxa"/>
            <w:tcBorders>
              <w:left w:val="dotted" w:sz="4" w:space="0" w:color="auto"/>
            </w:tcBorders>
            <w:shd w:val="clear" w:color="auto" w:fill="auto"/>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8.7%</w:t>
            </w:r>
          </w:p>
        </w:tc>
      </w:tr>
      <w:tr w:rsidR="004F1BCA" w:rsidRPr="0046615B" w:rsidTr="007D34DD">
        <w:trPr>
          <w:trHeight w:val="270"/>
          <w:jc w:val="center"/>
        </w:trPr>
        <w:tc>
          <w:tcPr>
            <w:tcW w:w="1423" w:type="dxa"/>
            <w:shd w:val="clear" w:color="auto" w:fill="auto"/>
            <w:noWrap/>
            <w:vAlign w:val="center"/>
          </w:tcPr>
          <w:p w:rsidR="004F1BCA" w:rsidRPr="0046615B" w:rsidRDefault="004F1BCA" w:rsidP="004F1BCA">
            <w:pPr>
              <w:widowControl/>
              <w:snapToGrid w:val="0"/>
              <w:spacing w:line="0" w:lineRule="atLeast"/>
              <w:ind w:leftChars="50" w:left="120"/>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心理士</w:t>
            </w:r>
          </w:p>
        </w:tc>
        <w:tc>
          <w:tcPr>
            <w:tcW w:w="908"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5</w:t>
            </w:r>
          </w:p>
        </w:tc>
        <w:tc>
          <w:tcPr>
            <w:tcW w:w="850"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p>
        </w:tc>
        <w:tc>
          <w:tcPr>
            <w:tcW w:w="1134"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963" w:type="dxa"/>
            <w:tcBorders>
              <w:right w:val="dotted" w:sz="4" w:space="0" w:color="auto"/>
            </w:tcBorders>
            <w:shd w:val="clear" w:color="auto" w:fill="auto"/>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10</w:t>
            </w:r>
          </w:p>
        </w:tc>
        <w:tc>
          <w:tcPr>
            <w:tcW w:w="992" w:type="dxa"/>
            <w:tcBorders>
              <w:left w:val="dotted" w:sz="4" w:space="0" w:color="auto"/>
            </w:tcBorders>
            <w:shd w:val="clear" w:color="auto" w:fill="auto"/>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1.1%</w:t>
            </w:r>
          </w:p>
        </w:tc>
      </w:tr>
      <w:tr w:rsidR="004F1BCA" w:rsidRPr="0046615B" w:rsidTr="007D34DD">
        <w:trPr>
          <w:trHeight w:val="270"/>
          <w:jc w:val="center"/>
        </w:trPr>
        <w:tc>
          <w:tcPr>
            <w:tcW w:w="1423" w:type="dxa"/>
            <w:shd w:val="clear" w:color="auto" w:fill="auto"/>
            <w:noWrap/>
            <w:vAlign w:val="center"/>
          </w:tcPr>
          <w:p w:rsidR="004F1BCA" w:rsidRPr="0046615B" w:rsidRDefault="004F1BCA" w:rsidP="004F1BCA">
            <w:pPr>
              <w:widowControl/>
              <w:snapToGrid w:val="0"/>
              <w:spacing w:line="0" w:lineRule="atLeast"/>
              <w:ind w:leftChars="50" w:left="120"/>
              <w:jc w:val="left"/>
              <w:rPr>
                <w:rFonts w:ascii="ＭＳ Ｐゴシック" w:eastAsia="ＭＳ Ｐゴシック" w:hAnsi="ＭＳ Ｐゴシック" w:cs="ＭＳ Ｐゴシック"/>
                <w:kern w:val="0"/>
                <w:sz w:val="16"/>
                <w:szCs w:val="16"/>
              </w:rPr>
            </w:pPr>
            <w:r w:rsidRPr="0046615B">
              <w:rPr>
                <w:rFonts w:ascii="ＭＳ Ｐゴシック" w:eastAsia="ＭＳ Ｐゴシック" w:hAnsi="ＭＳ Ｐゴシック" w:cs="ＭＳ Ｐゴシック" w:hint="eastAsia"/>
                <w:kern w:val="0"/>
                <w:sz w:val="16"/>
                <w:szCs w:val="16"/>
              </w:rPr>
              <w:t>精神保健福祉士</w:t>
            </w:r>
          </w:p>
        </w:tc>
        <w:tc>
          <w:tcPr>
            <w:tcW w:w="908"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70</w:t>
            </w:r>
          </w:p>
        </w:tc>
        <w:tc>
          <w:tcPr>
            <w:tcW w:w="850"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31</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35</w:t>
            </w:r>
          </w:p>
        </w:tc>
        <w:tc>
          <w:tcPr>
            <w:tcW w:w="993"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8</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11</w:t>
            </w:r>
          </w:p>
        </w:tc>
        <w:tc>
          <w:tcPr>
            <w:tcW w:w="963" w:type="dxa"/>
            <w:tcBorders>
              <w:right w:val="dotted" w:sz="4" w:space="0" w:color="auto"/>
            </w:tcBorders>
            <w:shd w:val="clear" w:color="auto" w:fill="auto"/>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164</w:t>
            </w:r>
          </w:p>
        </w:tc>
        <w:tc>
          <w:tcPr>
            <w:tcW w:w="992" w:type="dxa"/>
            <w:tcBorders>
              <w:left w:val="dotted" w:sz="4" w:space="0" w:color="auto"/>
            </w:tcBorders>
            <w:shd w:val="clear" w:color="auto" w:fill="auto"/>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17.5%</w:t>
            </w:r>
          </w:p>
        </w:tc>
      </w:tr>
      <w:tr w:rsidR="004F1BCA" w:rsidRPr="0046615B" w:rsidTr="007D34DD">
        <w:trPr>
          <w:trHeight w:val="270"/>
          <w:jc w:val="center"/>
        </w:trPr>
        <w:tc>
          <w:tcPr>
            <w:tcW w:w="1423" w:type="dxa"/>
            <w:shd w:val="clear" w:color="auto" w:fill="auto"/>
            <w:noWrap/>
            <w:vAlign w:val="center"/>
            <w:hideMark/>
          </w:tcPr>
          <w:p w:rsidR="004F1BCA" w:rsidRPr="0046615B" w:rsidRDefault="004F1BCA" w:rsidP="004F1BCA">
            <w:pPr>
              <w:widowControl/>
              <w:snapToGrid w:val="0"/>
              <w:spacing w:line="0" w:lineRule="atLeast"/>
              <w:ind w:leftChars="50" w:left="120"/>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その他</w:t>
            </w:r>
          </w:p>
        </w:tc>
        <w:tc>
          <w:tcPr>
            <w:tcW w:w="908" w:type="dxa"/>
            <w:shd w:val="clear" w:color="auto" w:fill="auto"/>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52</w:t>
            </w:r>
          </w:p>
        </w:tc>
        <w:tc>
          <w:tcPr>
            <w:tcW w:w="850"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32</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28</w:t>
            </w:r>
          </w:p>
        </w:tc>
        <w:tc>
          <w:tcPr>
            <w:tcW w:w="993"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21</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19</w:t>
            </w:r>
          </w:p>
        </w:tc>
        <w:tc>
          <w:tcPr>
            <w:tcW w:w="1134"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30</w:t>
            </w:r>
          </w:p>
        </w:tc>
        <w:tc>
          <w:tcPr>
            <w:tcW w:w="963" w:type="dxa"/>
            <w:tcBorders>
              <w:right w:val="dotted" w:sz="4" w:space="0" w:color="auto"/>
            </w:tcBorders>
            <w:shd w:val="clear" w:color="auto" w:fill="auto"/>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182</w:t>
            </w:r>
          </w:p>
        </w:tc>
        <w:tc>
          <w:tcPr>
            <w:tcW w:w="992" w:type="dxa"/>
            <w:tcBorders>
              <w:left w:val="dotted" w:sz="4" w:space="0" w:color="auto"/>
            </w:tcBorders>
            <w:shd w:val="clear" w:color="auto" w:fill="auto"/>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19.4%</w:t>
            </w:r>
          </w:p>
        </w:tc>
      </w:tr>
      <w:tr w:rsidR="004F1BCA" w:rsidRPr="0046615B" w:rsidTr="007D34DD">
        <w:trPr>
          <w:trHeight w:val="270"/>
          <w:jc w:val="center"/>
        </w:trPr>
        <w:tc>
          <w:tcPr>
            <w:tcW w:w="1423" w:type="dxa"/>
            <w:shd w:val="clear" w:color="auto" w:fill="auto"/>
            <w:noWrap/>
            <w:vAlign w:val="center"/>
            <w:hideMark/>
          </w:tcPr>
          <w:p w:rsidR="004F1BCA" w:rsidRPr="0046615B" w:rsidRDefault="004F1BCA" w:rsidP="004F1BCA">
            <w:pPr>
              <w:widowControl/>
              <w:snapToGrid w:val="0"/>
              <w:spacing w:line="0" w:lineRule="atLeast"/>
              <w:ind w:leftChars="50" w:left="120"/>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無回答</w:t>
            </w:r>
          </w:p>
        </w:tc>
        <w:tc>
          <w:tcPr>
            <w:tcW w:w="908" w:type="dxa"/>
            <w:shd w:val="clear" w:color="auto" w:fill="auto"/>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63" w:type="dxa"/>
            <w:tcBorders>
              <w:right w:val="dotted" w:sz="4" w:space="0" w:color="auto"/>
            </w:tcBorders>
            <w:shd w:val="clear" w:color="auto" w:fill="auto"/>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6</w:t>
            </w:r>
          </w:p>
        </w:tc>
        <w:tc>
          <w:tcPr>
            <w:tcW w:w="992" w:type="dxa"/>
            <w:tcBorders>
              <w:left w:val="dotted" w:sz="4" w:space="0" w:color="auto"/>
            </w:tcBorders>
            <w:shd w:val="clear" w:color="auto" w:fill="auto"/>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0.6%</w:t>
            </w:r>
          </w:p>
        </w:tc>
      </w:tr>
      <w:tr w:rsidR="004F1BCA" w:rsidRPr="0046615B" w:rsidTr="007D34DD">
        <w:trPr>
          <w:trHeight w:val="300"/>
          <w:jc w:val="center"/>
        </w:trPr>
        <w:tc>
          <w:tcPr>
            <w:tcW w:w="1423" w:type="dxa"/>
            <w:vMerge w:val="restart"/>
            <w:shd w:val="clear" w:color="DCE6F1" w:fill="DCE6F1"/>
            <w:noWrap/>
            <w:vAlign w:val="center"/>
            <w:hideMark/>
          </w:tcPr>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計</w:t>
            </w:r>
          </w:p>
        </w:tc>
        <w:tc>
          <w:tcPr>
            <w:tcW w:w="908" w:type="dxa"/>
            <w:tcBorders>
              <w:bottom w:val="dotted" w:sz="4" w:space="0" w:color="auto"/>
            </w:tcBorders>
            <w:shd w:val="clear" w:color="DCE6F1" w:fill="DCE6F1"/>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239</w:t>
            </w:r>
          </w:p>
        </w:tc>
        <w:tc>
          <w:tcPr>
            <w:tcW w:w="850" w:type="dxa"/>
            <w:tcBorders>
              <w:bottom w:val="dotted" w:sz="4" w:space="0" w:color="auto"/>
            </w:tcBorders>
            <w:shd w:val="clear" w:color="DCE6F1" w:fill="DCE6F1"/>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161</w:t>
            </w:r>
          </w:p>
        </w:tc>
        <w:tc>
          <w:tcPr>
            <w:tcW w:w="992" w:type="dxa"/>
            <w:tcBorders>
              <w:bottom w:val="dotted" w:sz="4" w:space="0" w:color="auto"/>
            </w:tcBorders>
            <w:shd w:val="clear" w:color="DCE6F1" w:fill="DCE6F1"/>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133</w:t>
            </w:r>
          </w:p>
        </w:tc>
        <w:tc>
          <w:tcPr>
            <w:tcW w:w="993" w:type="dxa"/>
            <w:tcBorders>
              <w:bottom w:val="dotted" w:sz="4" w:space="0" w:color="auto"/>
            </w:tcBorders>
            <w:shd w:val="clear" w:color="DCE6F1" w:fill="DCE6F1"/>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114</w:t>
            </w:r>
          </w:p>
        </w:tc>
        <w:tc>
          <w:tcPr>
            <w:tcW w:w="992" w:type="dxa"/>
            <w:tcBorders>
              <w:bottom w:val="dotted" w:sz="4" w:space="0" w:color="auto"/>
            </w:tcBorders>
            <w:shd w:val="clear" w:color="DCE6F1" w:fill="DCE6F1"/>
            <w:noWrap/>
            <w:vAlign w:val="center"/>
            <w:hideMark/>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171</w:t>
            </w:r>
          </w:p>
        </w:tc>
        <w:tc>
          <w:tcPr>
            <w:tcW w:w="1134" w:type="dxa"/>
            <w:tcBorders>
              <w:bottom w:val="dotted" w:sz="4" w:space="0" w:color="auto"/>
            </w:tcBorders>
            <w:shd w:val="clear" w:color="DCE6F1" w:fill="DCE6F1"/>
            <w:noWrap/>
            <w:vAlign w:val="center"/>
          </w:tcPr>
          <w:p w:rsidR="004F1BCA" w:rsidRPr="0046615B" w:rsidRDefault="004F1BCA" w:rsidP="004F1BCA">
            <w:pPr>
              <w:widowControl/>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118</w:t>
            </w:r>
          </w:p>
        </w:tc>
        <w:tc>
          <w:tcPr>
            <w:tcW w:w="963" w:type="dxa"/>
            <w:tcBorders>
              <w:bottom w:val="dotted" w:sz="4" w:space="0" w:color="auto"/>
              <w:right w:val="dotted" w:sz="4" w:space="0" w:color="auto"/>
            </w:tcBorders>
            <w:shd w:val="clear" w:color="DCE6F1" w:fill="DCE6F1"/>
            <w:noWrap/>
            <w:vAlign w:val="center"/>
            <w:hideMark/>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936</w:t>
            </w:r>
          </w:p>
        </w:tc>
        <w:tc>
          <w:tcPr>
            <w:tcW w:w="992" w:type="dxa"/>
            <w:tcBorders>
              <w:left w:val="dotted" w:sz="4" w:space="0" w:color="auto"/>
              <w:bottom w:val="dotted" w:sz="4" w:space="0" w:color="auto"/>
            </w:tcBorders>
            <w:shd w:val="clear" w:color="DCE6F1" w:fill="DCE6F1"/>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100.0%</w:t>
            </w:r>
          </w:p>
        </w:tc>
      </w:tr>
      <w:tr w:rsidR="004F1BCA" w:rsidRPr="0046615B" w:rsidTr="007D34DD">
        <w:trPr>
          <w:trHeight w:val="291"/>
          <w:jc w:val="center"/>
        </w:trPr>
        <w:tc>
          <w:tcPr>
            <w:tcW w:w="1423" w:type="dxa"/>
            <w:vMerge/>
            <w:shd w:val="clear" w:color="DCE6F1" w:fill="DCE6F1"/>
            <w:noWrap/>
            <w:vAlign w:val="center"/>
          </w:tcPr>
          <w:p w:rsidR="004F1BCA" w:rsidRPr="0046615B" w:rsidRDefault="004F1BCA" w:rsidP="007D34DD">
            <w:pPr>
              <w:widowControl/>
              <w:snapToGrid w:val="0"/>
              <w:spacing w:line="0" w:lineRule="atLeast"/>
              <w:jc w:val="center"/>
              <w:rPr>
                <w:rFonts w:ascii="ＭＳ Ｐゴシック" w:eastAsia="ＭＳ Ｐゴシック" w:hAnsi="ＭＳ Ｐゴシック" w:cs="ＭＳ Ｐゴシック"/>
                <w:b/>
                <w:bCs/>
                <w:kern w:val="0"/>
                <w:sz w:val="22"/>
              </w:rPr>
            </w:pPr>
          </w:p>
        </w:tc>
        <w:tc>
          <w:tcPr>
            <w:tcW w:w="908" w:type="dxa"/>
            <w:tcBorders>
              <w:top w:val="dotted" w:sz="4" w:space="0" w:color="auto"/>
            </w:tcBorders>
            <w:shd w:val="clear" w:color="DCE6F1" w:fill="DCE6F1"/>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25.5%</w:t>
            </w:r>
          </w:p>
        </w:tc>
        <w:tc>
          <w:tcPr>
            <w:tcW w:w="850" w:type="dxa"/>
            <w:tcBorders>
              <w:top w:val="dotted" w:sz="4" w:space="0" w:color="auto"/>
            </w:tcBorders>
            <w:shd w:val="clear" w:color="DCE6F1" w:fill="DCE6F1"/>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17.2%</w:t>
            </w:r>
          </w:p>
        </w:tc>
        <w:tc>
          <w:tcPr>
            <w:tcW w:w="992" w:type="dxa"/>
            <w:tcBorders>
              <w:top w:val="dotted" w:sz="4" w:space="0" w:color="auto"/>
            </w:tcBorders>
            <w:shd w:val="clear" w:color="DCE6F1" w:fill="DCE6F1"/>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14.2%</w:t>
            </w:r>
          </w:p>
        </w:tc>
        <w:tc>
          <w:tcPr>
            <w:tcW w:w="993" w:type="dxa"/>
            <w:tcBorders>
              <w:top w:val="dotted" w:sz="4" w:space="0" w:color="auto"/>
            </w:tcBorders>
            <w:shd w:val="clear" w:color="DCE6F1" w:fill="DCE6F1"/>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12.2%</w:t>
            </w:r>
          </w:p>
        </w:tc>
        <w:tc>
          <w:tcPr>
            <w:tcW w:w="992" w:type="dxa"/>
            <w:tcBorders>
              <w:top w:val="dotted" w:sz="4" w:space="0" w:color="auto"/>
            </w:tcBorders>
            <w:shd w:val="clear" w:color="DCE6F1" w:fill="DCE6F1"/>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18.3%</w:t>
            </w:r>
          </w:p>
        </w:tc>
        <w:tc>
          <w:tcPr>
            <w:tcW w:w="1134" w:type="dxa"/>
            <w:tcBorders>
              <w:top w:val="dotted" w:sz="4" w:space="0" w:color="auto"/>
            </w:tcBorders>
            <w:shd w:val="clear" w:color="DCE6F1" w:fill="DCE6F1"/>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12.6%</w:t>
            </w:r>
          </w:p>
        </w:tc>
        <w:tc>
          <w:tcPr>
            <w:tcW w:w="963" w:type="dxa"/>
            <w:tcBorders>
              <w:top w:val="dotted" w:sz="4" w:space="0" w:color="auto"/>
              <w:right w:val="dotted" w:sz="4" w:space="0" w:color="auto"/>
            </w:tcBorders>
            <w:shd w:val="clear" w:color="DCE6F1" w:fill="DCE6F1"/>
            <w:noWrap/>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kern w:val="0"/>
                <w:sz w:val="22"/>
              </w:rPr>
            </w:pPr>
            <w:r w:rsidRPr="0046615B">
              <w:rPr>
                <w:rFonts w:ascii="ＭＳ Ｐゴシック" w:eastAsia="ＭＳ Ｐゴシック" w:hAnsi="ＭＳ Ｐゴシック" w:cs="ＭＳ Ｐゴシック" w:hint="eastAsia"/>
                <w:b/>
                <w:kern w:val="0"/>
                <w:sz w:val="22"/>
              </w:rPr>
              <w:t>100.0%</w:t>
            </w:r>
          </w:p>
        </w:tc>
        <w:tc>
          <w:tcPr>
            <w:tcW w:w="992" w:type="dxa"/>
            <w:tcBorders>
              <w:top w:val="dotted" w:sz="4" w:space="0" w:color="auto"/>
              <w:left w:val="dotted" w:sz="4" w:space="0" w:color="auto"/>
            </w:tcBorders>
            <w:shd w:val="clear" w:color="DCE6F1" w:fill="DCE6F1"/>
            <w:vAlign w:val="center"/>
          </w:tcPr>
          <w:p w:rsidR="004F1BCA" w:rsidRPr="0046615B" w:rsidRDefault="004F1BCA" w:rsidP="004F1BCA">
            <w:pPr>
              <w:snapToGrid w:val="0"/>
              <w:spacing w:line="0" w:lineRule="atLeast"/>
              <w:ind w:rightChars="50" w:right="120"/>
              <w:jc w:val="right"/>
              <w:rPr>
                <w:rFonts w:ascii="ＭＳ Ｐゴシック" w:eastAsia="ＭＳ Ｐゴシック" w:hAnsi="ＭＳ Ｐゴシック" w:cs="ＭＳ Ｐゴシック"/>
                <w:b/>
                <w:bCs/>
                <w:kern w:val="0"/>
                <w:sz w:val="22"/>
              </w:rPr>
            </w:pPr>
          </w:p>
        </w:tc>
      </w:tr>
    </w:tbl>
    <w:p w:rsidR="004F1BCA" w:rsidRPr="0046615B" w:rsidRDefault="004F1BCA" w:rsidP="004F1BCA">
      <w:pPr>
        <w:spacing w:line="0" w:lineRule="atLeast"/>
        <w:rPr>
          <w:rFonts w:ascii="HGPｺﾞｼｯｸM" w:eastAsia="HGPｺﾞｼｯｸM"/>
        </w:rPr>
      </w:pPr>
      <w:r w:rsidRPr="0046615B">
        <w:rPr>
          <w:rFonts w:ascii="HGPｺﾞｼｯｸM" w:eastAsia="HGPｺﾞｼｯｸM" w:hint="eastAsia"/>
        </w:rPr>
        <w:t>〔回答〕</w:t>
      </w:r>
    </w:p>
    <w:tbl>
      <w:tblPr>
        <w:tblStyle w:val="a3"/>
        <w:tblW w:w="0" w:type="auto"/>
        <w:jc w:val="center"/>
        <w:tblLook w:val="04A0" w:firstRow="1" w:lastRow="0" w:firstColumn="1" w:lastColumn="0" w:noHBand="0" w:noVBand="1"/>
      </w:tblPr>
      <w:tblGrid>
        <w:gridCol w:w="456"/>
        <w:gridCol w:w="4317"/>
        <w:gridCol w:w="1002"/>
        <w:gridCol w:w="1002"/>
        <w:gridCol w:w="1002"/>
        <w:gridCol w:w="1003"/>
      </w:tblGrid>
      <w:tr w:rsidR="004F1BCA" w:rsidRPr="0046615B" w:rsidTr="007D34DD">
        <w:trPr>
          <w:jc w:val="center"/>
        </w:trPr>
        <w:tc>
          <w:tcPr>
            <w:tcW w:w="4773" w:type="dxa"/>
            <w:gridSpan w:val="2"/>
            <w:tcBorders>
              <w:bottom w:val="single" w:sz="4" w:space="0" w:color="auto"/>
            </w:tcBorders>
            <w:shd w:val="clear" w:color="auto" w:fill="FDE9D9" w:themeFill="accent6" w:themeFillTint="33"/>
            <w:vAlign w:val="center"/>
          </w:tcPr>
          <w:p w:rsidR="004F1BCA" w:rsidRPr="0046615B" w:rsidRDefault="004F1BCA" w:rsidP="007D34DD">
            <w:pPr>
              <w:snapToGrid w:val="0"/>
              <w:spacing w:line="0" w:lineRule="atLeast"/>
              <w:jc w:val="center"/>
              <w:rPr>
                <w:rFonts w:ascii="HGPｺﾞｼｯｸM" w:eastAsia="HGPｺﾞｼｯｸM"/>
              </w:rPr>
            </w:pPr>
            <w:r w:rsidRPr="0046615B">
              <w:rPr>
                <w:rFonts w:ascii="HGPｺﾞｼｯｸM" w:eastAsia="HGPｺﾞｼｯｸM" w:hint="eastAsia"/>
              </w:rPr>
              <w:t>問</w:t>
            </w:r>
          </w:p>
        </w:tc>
        <w:tc>
          <w:tcPr>
            <w:tcW w:w="1002" w:type="dxa"/>
            <w:shd w:val="clear" w:color="auto" w:fill="FDE9D9" w:themeFill="accent6" w:themeFillTint="33"/>
            <w:vAlign w:val="center"/>
          </w:tcPr>
          <w:p w:rsidR="004F1BCA" w:rsidRPr="0046615B" w:rsidRDefault="004F1BCA" w:rsidP="007D34DD">
            <w:pPr>
              <w:snapToGrid w:val="0"/>
              <w:spacing w:line="0" w:lineRule="atLeast"/>
              <w:jc w:val="center"/>
              <w:rPr>
                <w:rFonts w:ascii="HGPｺﾞｼｯｸM" w:eastAsia="HGPｺﾞｼｯｸM"/>
              </w:rPr>
            </w:pPr>
            <w:r w:rsidRPr="0046615B">
              <w:rPr>
                <w:rFonts w:ascii="HGPｺﾞｼｯｸM" w:eastAsia="HGPｺﾞｼｯｸM" w:hint="eastAsia"/>
              </w:rPr>
              <w:t>はい</w:t>
            </w:r>
          </w:p>
        </w:tc>
        <w:tc>
          <w:tcPr>
            <w:tcW w:w="1002" w:type="dxa"/>
            <w:shd w:val="clear" w:color="auto" w:fill="FDE9D9" w:themeFill="accent6" w:themeFillTint="33"/>
            <w:vAlign w:val="center"/>
          </w:tcPr>
          <w:p w:rsidR="004F1BCA" w:rsidRPr="0046615B" w:rsidRDefault="004F1BCA" w:rsidP="007D34DD">
            <w:pPr>
              <w:snapToGrid w:val="0"/>
              <w:spacing w:line="0" w:lineRule="atLeast"/>
              <w:jc w:val="center"/>
              <w:rPr>
                <w:rFonts w:ascii="HGPｺﾞｼｯｸM" w:eastAsia="HGPｺﾞｼｯｸM"/>
                <w:sz w:val="18"/>
              </w:rPr>
            </w:pPr>
            <w:r w:rsidRPr="0046615B">
              <w:rPr>
                <w:rFonts w:ascii="HGPｺﾞｼｯｸM" w:eastAsia="HGPｺﾞｼｯｸM" w:hint="eastAsia"/>
                <w:sz w:val="18"/>
              </w:rPr>
              <w:t>どちらかと</w:t>
            </w:r>
          </w:p>
          <w:p w:rsidR="004F1BCA" w:rsidRPr="0046615B" w:rsidRDefault="004F1BCA" w:rsidP="007D34DD">
            <w:pPr>
              <w:snapToGrid w:val="0"/>
              <w:spacing w:line="0" w:lineRule="atLeast"/>
              <w:jc w:val="center"/>
              <w:rPr>
                <w:rFonts w:ascii="HGPｺﾞｼｯｸM" w:eastAsia="HGPｺﾞｼｯｸM"/>
                <w:sz w:val="18"/>
              </w:rPr>
            </w:pPr>
            <w:r w:rsidRPr="0046615B">
              <w:rPr>
                <w:rFonts w:ascii="HGPｺﾞｼｯｸM" w:eastAsia="HGPｺﾞｼｯｸM" w:hint="eastAsia"/>
                <w:sz w:val="18"/>
              </w:rPr>
              <w:t>いえば</w:t>
            </w:r>
          </w:p>
          <w:p w:rsidR="004F1BCA" w:rsidRPr="0046615B" w:rsidRDefault="004F1BCA" w:rsidP="007D34DD">
            <w:pPr>
              <w:snapToGrid w:val="0"/>
              <w:spacing w:line="0" w:lineRule="atLeast"/>
              <w:jc w:val="center"/>
              <w:rPr>
                <w:rFonts w:ascii="HGPｺﾞｼｯｸM" w:eastAsia="HGPｺﾞｼｯｸM"/>
              </w:rPr>
            </w:pPr>
            <w:r w:rsidRPr="0046615B">
              <w:rPr>
                <w:rFonts w:ascii="HGPｺﾞｼｯｸM" w:eastAsia="HGPｺﾞｼｯｸM" w:hint="eastAsia"/>
              </w:rPr>
              <w:t>はい</w:t>
            </w:r>
          </w:p>
        </w:tc>
        <w:tc>
          <w:tcPr>
            <w:tcW w:w="1002" w:type="dxa"/>
            <w:shd w:val="clear" w:color="auto" w:fill="FDE9D9" w:themeFill="accent6" w:themeFillTint="33"/>
            <w:vAlign w:val="center"/>
          </w:tcPr>
          <w:p w:rsidR="004F1BCA" w:rsidRPr="0046615B" w:rsidRDefault="004F1BCA" w:rsidP="007D34DD">
            <w:pPr>
              <w:snapToGrid w:val="0"/>
              <w:spacing w:line="0" w:lineRule="atLeast"/>
              <w:jc w:val="center"/>
              <w:rPr>
                <w:rFonts w:ascii="HGPｺﾞｼｯｸM" w:eastAsia="HGPｺﾞｼｯｸM"/>
                <w:sz w:val="18"/>
              </w:rPr>
            </w:pPr>
            <w:r w:rsidRPr="0046615B">
              <w:rPr>
                <w:rFonts w:ascii="HGPｺﾞｼｯｸM" w:eastAsia="HGPｺﾞｼｯｸM" w:hint="eastAsia"/>
                <w:sz w:val="18"/>
              </w:rPr>
              <w:t>どちらかと</w:t>
            </w:r>
          </w:p>
          <w:p w:rsidR="004F1BCA" w:rsidRPr="0046615B" w:rsidRDefault="004F1BCA" w:rsidP="007D34DD">
            <w:pPr>
              <w:snapToGrid w:val="0"/>
              <w:spacing w:line="0" w:lineRule="atLeast"/>
              <w:jc w:val="center"/>
              <w:rPr>
                <w:rFonts w:ascii="HGPｺﾞｼｯｸM" w:eastAsia="HGPｺﾞｼｯｸM"/>
                <w:sz w:val="18"/>
              </w:rPr>
            </w:pPr>
            <w:r w:rsidRPr="0046615B">
              <w:rPr>
                <w:rFonts w:ascii="HGPｺﾞｼｯｸM" w:eastAsia="HGPｺﾞｼｯｸM" w:hint="eastAsia"/>
                <w:sz w:val="18"/>
              </w:rPr>
              <w:t>いえば</w:t>
            </w:r>
          </w:p>
          <w:p w:rsidR="004F1BCA" w:rsidRPr="0046615B" w:rsidRDefault="004F1BCA" w:rsidP="007D34DD">
            <w:pPr>
              <w:snapToGrid w:val="0"/>
              <w:spacing w:line="0" w:lineRule="atLeast"/>
              <w:jc w:val="center"/>
              <w:rPr>
                <w:rFonts w:ascii="HGPｺﾞｼｯｸM" w:eastAsia="HGPｺﾞｼｯｸM"/>
              </w:rPr>
            </w:pPr>
            <w:r w:rsidRPr="0046615B">
              <w:rPr>
                <w:rFonts w:ascii="HGPｺﾞｼｯｸM" w:eastAsia="HGPｺﾞｼｯｸM" w:hint="eastAsia"/>
              </w:rPr>
              <w:t>いいえ</w:t>
            </w:r>
          </w:p>
        </w:tc>
        <w:tc>
          <w:tcPr>
            <w:tcW w:w="1003" w:type="dxa"/>
            <w:shd w:val="clear" w:color="auto" w:fill="FDE9D9" w:themeFill="accent6" w:themeFillTint="33"/>
            <w:vAlign w:val="center"/>
          </w:tcPr>
          <w:p w:rsidR="004F1BCA" w:rsidRPr="0046615B" w:rsidRDefault="004F1BCA" w:rsidP="007D34DD">
            <w:pPr>
              <w:snapToGrid w:val="0"/>
              <w:spacing w:line="0" w:lineRule="atLeast"/>
              <w:jc w:val="center"/>
              <w:rPr>
                <w:rFonts w:ascii="HGPｺﾞｼｯｸM" w:eastAsia="HGPｺﾞｼｯｸM"/>
              </w:rPr>
            </w:pPr>
            <w:r w:rsidRPr="0046615B">
              <w:rPr>
                <w:rFonts w:ascii="HGPｺﾞｼｯｸM" w:eastAsia="HGPｺﾞｼｯｸM" w:hint="eastAsia"/>
              </w:rPr>
              <w:t>いいえ</w:t>
            </w:r>
          </w:p>
        </w:tc>
      </w:tr>
      <w:tr w:rsidR="004F1BCA" w:rsidRPr="0046615B" w:rsidTr="007D34DD">
        <w:trPr>
          <w:jc w:val="center"/>
        </w:trPr>
        <w:tc>
          <w:tcPr>
            <w:tcW w:w="456" w:type="dxa"/>
            <w:tcBorders>
              <w:right w:val="nil"/>
            </w:tcBorders>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１</w:t>
            </w:r>
          </w:p>
        </w:tc>
        <w:tc>
          <w:tcPr>
            <w:tcW w:w="4317" w:type="dxa"/>
            <w:tcBorders>
              <w:left w:val="nil"/>
            </w:tcBorders>
          </w:tcPr>
          <w:p w:rsidR="004F1BCA" w:rsidRPr="0046615B" w:rsidRDefault="004F1BCA" w:rsidP="007D34DD">
            <w:pPr>
              <w:snapToGrid w:val="0"/>
              <w:spacing w:line="0" w:lineRule="atLeast"/>
              <w:rPr>
                <w:rFonts w:ascii="HGPｺﾞｼｯｸM" w:eastAsia="HGPｺﾞｼｯｸM"/>
                <w:sz w:val="22"/>
              </w:rPr>
            </w:pPr>
            <w:r w:rsidRPr="0046615B">
              <w:rPr>
                <w:rFonts w:ascii="HGPｺﾞｼｯｸM" w:eastAsia="HGPｺﾞｼｯｸM" w:hint="eastAsia"/>
                <w:sz w:val="22"/>
              </w:rPr>
              <w:t>この研修を受けるまで「地域移行」という言葉を聞いたことがなかった</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116</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(12.4%)</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87</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(9.3%)</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110</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(11.8%)</w:t>
            </w:r>
          </w:p>
        </w:tc>
        <w:tc>
          <w:tcPr>
            <w:tcW w:w="1003"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620</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(66.5%)</w:t>
            </w:r>
          </w:p>
        </w:tc>
      </w:tr>
      <w:tr w:rsidR="004F1BCA" w:rsidRPr="0046615B" w:rsidTr="007D34DD">
        <w:trPr>
          <w:jc w:val="center"/>
        </w:trPr>
        <w:tc>
          <w:tcPr>
            <w:tcW w:w="456" w:type="dxa"/>
            <w:tcBorders>
              <w:right w:val="nil"/>
            </w:tcBorders>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２</w:t>
            </w:r>
          </w:p>
        </w:tc>
        <w:tc>
          <w:tcPr>
            <w:tcW w:w="4317" w:type="dxa"/>
            <w:tcBorders>
              <w:left w:val="nil"/>
            </w:tcBorders>
          </w:tcPr>
          <w:p w:rsidR="004F1BCA" w:rsidRPr="0046615B" w:rsidRDefault="004F1BCA" w:rsidP="007D34DD">
            <w:pPr>
              <w:snapToGrid w:val="0"/>
              <w:spacing w:line="0" w:lineRule="atLeast"/>
              <w:rPr>
                <w:rFonts w:ascii="HGPｺﾞｼｯｸM" w:eastAsia="HGPｺﾞｼｯｸM"/>
                <w:sz w:val="22"/>
              </w:rPr>
            </w:pPr>
            <w:r w:rsidRPr="0046615B">
              <w:rPr>
                <w:rFonts w:ascii="HGPｺﾞｼｯｸM" w:eastAsia="HGPｺﾞｼｯｸM" w:hint="eastAsia"/>
                <w:sz w:val="22"/>
              </w:rPr>
              <w:t>この研修を受けるまで「地域移行」とは何かを知らなかった</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123</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(13.2%)</w:t>
            </w:r>
          </w:p>
        </w:tc>
        <w:tc>
          <w:tcPr>
            <w:tcW w:w="1002" w:type="dxa"/>
            <w:vAlign w:val="center"/>
          </w:tcPr>
          <w:p w:rsidR="004F1BCA" w:rsidRPr="0046615B" w:rsidRDefault="004F1BCA" w:rsidP="007D34DD">
            <w:pPr>
              <w:snapToGrid w:val="0"/>
              <w:spacing w:line="0" w:lineRule="atLeast"/>
              <w:ind w:firstLineChars="50" w:firstLine="110"/>
              <w:rPr>
                <w:rFonts w:ascii="HGPｺﾞｼｯｸM" w:eastAsia="HGPｺﾞｼｯｸM"/>
                <w:sz w:val="22"/>
              </w:rPr>
            </w:pPr>
            <w:r w:rsidRPr="0046615B">
              <w:rPr>
                <w:rFonts w:ascii="HGPｺﾞｼｯｸM" w:eastAsia="HGPｺﾞｼｯｸM" w:hint="eastAsia"/>
                <w:sz w:val="22"/>
              </w:rPr>
              <w:t>125</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(13.4%)</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173</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(18.5%)</w:t>
            </w:r>
          </w:p>
        </w:tc>
        <w:tc>
          <w:tcPr>
            <w:tcW w:w="1003"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514</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(55.0%)</w:t>
            </w:r>
          </w:p>
        </w:tc>
      </w:tr>
      <w:tr w:rsidR="004F1BCA" w:rsidRPr="0046615B" w:rsidTr="007D34DD">
        <w:trPr>
          <w:jc w:val="center"/>
        </w:trPr>
        <w:tc>
          <w:tcPr>
            <w:tcW w:w="456" w:type="dxa"/>
            <w:tcBorders>
              <w:right w:val="nil"/>
            </w:tcBorders>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３</w:t>
            </w:r>
          </w:p>
        </w:tc>
        <w:tc>
          <w:tcPr>
            <w:tcW w:w="4317" w:type="dxa"/>
            <w:tcBorders>
              <w:left w:val="nil"/>
            </w:tcBorders>
          </w:tcPr>
          <w:p w:rsidR="004F1BCA" w:rsidRPr="0046615B" w:rsidRDefault="004F1BCA" w:rsidP="007D34DD">
            <w:pPr>
              <w:snapToGrid w:val="0"/>
              <w:spacing w:line="0" w:lineRule="atLeast"/>
              <w:rPr>
                <w:rFonts w:ascii="HGPｺﾞｼｯｸM" w:eastAsia="HGPｺﾞｼｯｸM"/>
                <w:sz w:val="22"/>
              </w:rPr>
            </w:pPr>
            <w:r w:rsidRPr="0046615B">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(0.1%)</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20</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(2.1%)</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112</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(12.0%)</w:t>
            </w:r>
          </w:p>
        </w:tc>
        <w:tc>
          <w:tcPr>
            <w:tcW w:w="1003"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799</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(85.7%)</w:t>
            </w:r>
          </w:p>
        </w:tc>
      </w:tr>
      <w:tr w:rsidR="004F1BCA" w:rsidRPr="0046615B" w:rsidTr="007D34DD">
        <w:trPr>
          <w:jc w:val="center"/>
        </w:trPr>
        <w:tc>
          <w:tcPr>
            <w:tcW w:w="456" w:type="dxa"/>
            <w:tcBorders>
              <w:right w:val="nil"/>
            </w:tcBorders>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４</w:t>
            </w:r>
          </w:p>
        </w:tc>
        <w:tc>
          <w:tcPr>
            <w:tcW w:w="4317" w:type="dxa"/>
            <w:tcBorders>
              <w:left w:val="nil"/>
            </w:tcBorders>
          </w:tcPr>
          <w:p w:rsidR="004F1BCA" w:rsidRPr="0046615B" w:rsidRDefault="004F1BCA" w:rsidP="007D34DD">
            <w:pPr>
              <w:snapToGrid w:val="0"/>
              <w:spacing w:line="0" w:lineRule="atLeast"/>
              <w:rPr>
                <w:rFonts w:ascii="HGPｺﾞｼｯｸM" w:eastAsia="HGPｺﾞｼｯｸM"/>
                <w:sz w:val="22"/>
              </w:rPr>
            </w:pPr>
            <w:r w:rsidRPr="0046615B">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14</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(1.5%)</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71</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(7.7%)</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324</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(35.1%)</w:t>
            </w:r>
          </w:p>
        </w:tc>
        <w:tc>
          <w:tcPr>
            <w:tcW w:w="1003"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513</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(55.6%)</w:t>
            </w:r>
          </w:p>
        </w:tc>
      </w:tr>
      <w:tr w:rsidR="004F1BCA" w:rsidRPr="0046615B" w:rsidTr="007D34DD">
        <w:trPr>
          <w:jc w:val="center"/>
        </w:trPr>
        <w:tc>
          <w:tcPr>
            <w:tcW w:w="456" w:type="dxa"/>
            <w:tcBorders>
              <w:right w:val="nil"/>
            </w:tcBorders>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５</w:t>
            </w:r>
          </w:p>
        </w:tc>
        <w:tc>
          <w:tcPr>
            <w:tcW w:w="4317" w:type="dxa"/>
            <w:tcBorders>
              <w:left w:val="nil"/>
            </w:tcBorders>
          </w:tcPr>
          <w:p w:rsidR="004F1BCA" w:rsidRPr="0046615B" w:rsidRDefault="004F1BCA" w:rsidP="007D34DD">
            <w:pPr>
              <w:snapToGrid w:val="0"/>
              <w:spacing w:line="0" w:lineRule="atLeast"/>
              <w:rPr>
                <w:rFonts w:ascii="HGPｺﾞｼｯｸM" w:eastAsia="HGPｺﾞｼｯｸM"/>
                <w:sz w:val="22"/>
              </w:rPr>
            </w:pPr>
            <w:r w:rsidRPr="0046615B">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717</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(77.6%)</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133</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(14.4%)</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21</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(2.3%)</w:t>
            </w:r>
          </w:p>
        </w:tc>
        <w:tc>
          <w:tcPr>
            <w:tcW w:w="1003"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53</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(5.7%)</w:t>
            </w:r>
          </w:p>
        </w:tc>
      </w:tr>
      <w:tr w:rsidR="004F1BCA" w:rsidRPr="0046615B" w:rsidTr="007D34DD">
        <w:trPr>
          <w:jc w:val="center"/>
        </w:trPr>
        <w:tc>
          <w:tcPr>
            <w:tcW w:w="456" w:type="dxa"/>
            <w:tcBorders>
              <w:right w:val="nil"/>
            </w:tcBorders>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６</w:t>
            </w:r>
          </w:p>
        </w:tc>
        <w:tc>
          <w:tcPr>
            <w:tcW w:w="4317" w:type="dxa"/>
            <w:tcBorders>
              <w:left w:val="nil"/>
            </w:tcBorders>
          </w:tcPr>
          <w:p w:rsidR="004F1BCA" w:rsidRPr="0046615B" w:rsidRDefault="004F1BCA" w:rsidP="007D34DD">
            <w:pPr>
              <w:snapToGrid w:val="0"/>
              <w:spacing w:line="0" w:lineRule="atLeast"/>
              <w:rPr>
                <w:rFonts w:ascii="HGPｺﾞｼｯｸM" w:eastAsia="HGPｺﾞｼｯｸM"/>
                <w:sz w:val="22"/>
              </w:rPr>
            </w:pPr>
            <w:r w:rsidRPr="0046615B">
              <w:rPr>
                <w:rFonts w:ascii="HGPｺﾞｼｯｸM" w:eastAsia="HGPｺﾞｼｯｸM" w:hint="eastAsia"/>
                <w:sz w:val="22"/>
              </w:rPr>
              <w:t>担当している長期入院患者の中で地域移行できるのではと思う人がいる</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359</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(44.7%)</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279</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(34.7%)</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83</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(10.3%)</w:t>
            </w:r>
          </w:p>
        </w:tc>
        <w:tc>
          <w:tcPr>
            <w:tcW w:w="1003"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82</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(10.2%)</w:t>
            </w:r>
          </w:p>
        </w:tc>
      </w:tr>
      <w:tr w:rsidR="004F1BCA" w:rsidRPr="0046615B" w:rsidTr="007D34DD">
        <w:trPr>
          <w:jc w:val="center"/>
        </w:trPr>
        <w:tc>
          <w:tcPr>
            <w:tcW w:w="456" w:type="dxa"/>
            <w:tcBorders>
              <w:right w:val="nil"/>
            </w:tcBorders>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７</w:t>
            </w:r>
          </w:p>
        </w:tc>
        <w:tc>
          <w:tcPr>
            <w:tcW w:w="4317" w:type="dxa"/>
            <w:tcBorders>
              <w:left w:val="nil"/>
            </w:tcBorders>
          </w:tcPr>
          <w:p w:rsidR="004F1BCA" w:rsidRPr="0046615B" w:rsidRDefault="004F1BCA" w:rsidP="007D34DD">
            <w:pPr>
              <w:snapToGrid w:val="0"/>
              <w:spacing w:line="0" w:lineRule="atLeast"/>
              <w:rPr>
                <w:rFonts w:ascii="HGPｺﾞｼｯｸM" w:eastAsia="HGPｺﾞｼｯｸM"/>
                <w:sz w:val="22"/>
              </w:rPr>
            </w:pPr>
            <w:r w:rsidRPr="0046615B">
              <w:rPr>
                <w:rFonts w:ascii="HGPｺﾞｼｯｸM" w:eastAsia="HGPｺﾞｼｯｸM" w:hint="eastAsia"/>
                <w:sz w:val="22"/>
              </w:rPr>
              <w:t>患者の地域移行は入院直後から考えるべきである。</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505</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(55.1%)</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297</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(32.4%)</w:t>
            </w:r>
          </w:p>
        </w:tc>
        <w:tc>
          <w:tcPr>
            <w:tcW w:w="1002"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76</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(8.3%)</w:t>
            </w:r>
          </w:p>
        </w:tc>
        <w:tc>
          <w:tcPr>
            <w:tcW w:w="1003" w:type="dxa"/>
            <w:vAlign w:val="center"/>
          </w:tcPr>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38</w:t>
            </w:r>
          </w:p>
          <w:p w:rsidR="004F1BCA" w:rsidRPr="0046615B" w:rsidRDefault="004F1BCA" w:rsidP="007D34DD">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(4.1%)</w:t>
            </w:r>
          </w:p>
        </w:tc>
      </w:tr>
    </w:tbl>
    <w:p w:rsidR="00E35463" w:rsidRDefault="00E35463" w:rsidP="004F1BCA"/>
    <w:sectPr w:rsidR="00E35463" w:rsidSect="004F1B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CA"/>
    <w:rsid w:val="004F1BCA"/>
    <w:rsid w:val="00BA7C33"/>
    <w:rsid w:val="00E3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C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C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2016-06-08T04:03:00Z</cp:lastPrinted>
  <dcterms:created xsi:type="dcterms:W3CDTF">2016-06-08T02:54:00Z</dcterms:created>
  <dcterms:modified xsi:type="dcterms:W3CDTF">2016-06-08T04:04:00Z</dcterms:modified>
</cp:coreProperties>
</file>