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43" w:rsidRPr="00486343" w:rsidRDefault="00486343">
      <w:pPr>
        <w:rPr>
          <w:b/>
          <w:noProof/>
          <w:sz w:val="36"/>
          <w:szCs w:val="36"/>
          <w:u w:val="single"/>
        </w:rPr>
      </w:pPr>
      <w:r w:rsidRPr="00486343">
        <w:rPr>
          <w:rFonts w:hint="eastAsia"/>
          <w:b/>
          <w:noProof/>
          <w:sz w:val="36"/>
          <w:szCs w:val="36"/>
          <w:u w:val="single"/>
        </w:rPr>
        <w:t>受診率</w:t>
      </w:r>
    </w:p>
    <w:p w:rsidR="00486343" w:rsidRDefault="00486343">
      <w:pPr>
        <w:rPr>
          <w:noProof/>
        </w:rPr>
      </w:pPr>
    </w:p>
    <w:p w:rsidR="00486343" w:rsidRDefault="00486343">
      <w:pPr>
        <w:rPr>
          <w:noProof/>
        </w:rPr>
      </w:pPr>
    </w:p>
    <w:p w:rsidR="00486343" w:rsidRDefault="00486343">
      <w:pPr>
        <w:rPr>
          <w:noProof/>
        </w:rPr>
      </w:pPr>
    </w:p>
    <w:p w:rsidR="008F54C3" w:rsidRDefault="008F54C3">
      <w:pPr>
        <w:rPr>
          <w:noProof/>
        </w:rPr>
      </w:pPr>
      <w:r>
        <w:rPr>
          <w:noProof/>
        </w:rPr>
        <w:drawing>
          <wp:anchor distT="0" distB="0" distL="114300" distR="114300" simplePos="0" relativeHeight="251660288" behindDoc="0" locked="0" layoutInCell="1" allowOverlap="1">
            <wp:simplePos x="0" y="0"/>
            <wp:positionH relativeFrom="column">
              <wp:posOffset>1619250</wp:posOffset>
            </wp:positionH>
            <wp:positionV relativeFrom="paragraph">
              <wp:posOffset>95250</wp:posOffset>
            </wp:positionV>
            <wp:extent cx="5295900" cy="311404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r="5678"/>
                    <a:stretch/>
                  </pic:blipFill>
                  <pic:spPr bwMode="auto">
                    <a:xfrm>
                      <a:off x="0" y="0"/>
                      <a:ext cx="5295900" cy="311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6343" w:rsidRDefault="00702AFA">
      <w:pPr>
        <w:rPr>
          <w:noProof/>
        </w:rPr>
      </w:pPr>
      <w:r>
        <w:rPr>
          <w:noProof/>
        </w:rPr>
        <w:drawing>
          <wp:anchor distT="0" distB="0" distL="114300" distR="114300" simplePos="0" relativeHeight="251655168" behindDoc="0" locked="0" layoutInCell="1" allowOverlap="1">
            <wp:simplePos x="0" y="0"/>
            <wp:positionH relativeFrom="column">
              <wp:posOffset>-34506</wp:posOffset>
            </wp:positionH>
            <wp:positionV relativeFrom="paragraph">
              <wp:posOffset>406723</wp:posOffset>
            </wp:positionV>
            <wp:extent cx="1530350" cy="223139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223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343" w:rsidRDefault="00486343"/>
    <w:p w:rsidR="0079792A" w:rsidRDefault="0079792A"/>
    <w:p w:rsidR="0079792A" w:rsidRDefault="0079792A"/>
    <w:p w:rsidR="0079792A" w:rsidRDefault="0079792A"/>
    <w:tbl>
      <w:tblPr>
        <w:tblpPr w:leftFromText="142" w:rightFromText="142" w:vertAnchor="text" w:horzAnchor="margin" w:tblpXSpec="center" w:tblpY="35"/>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702AFA" w:rsidRPr="00984237" w:rsidTr="00702AFA">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702AFA" w:rsidRPr="00984237" w:rsidRDefault="00702AFA" w:rsidP="00702AFA">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702AFA" w:rsidRPr="00984237" w:rsidRDefault="00702AFA" w:rsidP="00702AFA">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702AFA" w:rsidRPr="00984237" w:rsidRDefault="00702AFA" w:rsidP="00702AFA">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702AFA" w:rsidRPr="00984237" w:rsidTr="00702AFA">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702AFA" w:rsidRPr="00984237" w:rsidRDefault="00702AFA" w:rsidP="00702AFA">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rsidR="00702AFA" w:rsidRPr="00984237" w:rsidRDefault="00702AFA" w:rsidP="00702AFA">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w:t>
            </w:r>
            <w:r>
              <w:rPr>
                <w:rFonts w:ascii="HG丸ｺﾞｼｯｸM-PRO" w:eastAsia="HG丸ｺﾞｼｯｸM-PRO" w:hAnsi="HG丸ｺﾞｼｯｸM-PRO" w:cs="Times New Roman" w:hint="eastAsia"/>
                <w:sz w:val="16"/>
                <w:szCs w:val="16"/>
              </w:rPr>
              <w:t>胃がんは50歳以上、</w:t>
            </w:r>
            <w:r w:rsidRPr="00984237">
              <w:rPr>
                <w:rFonts w:ascii="HG丸ｺﾞｼｯｸM-PRO" w:eastAsia="HG丸ｺﾞｼｯｸM-PRO" w:hAnsi="HG丸ｺﾞｼｯｸM-PRO" w:cs="Times New Roman"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702AFA" w:rsidRPr="00984237" w:rsidRDefault="00702AFA" w:rsidP="00702AFA">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702AFA" w:rsidRPr="00984237" w:rsidRDefault="00702AFA" w:rsidP="00702AFA">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rsidR="0079792A" w:rsidRDefault="0079792A"/>
    <w:p w:rsidR="0079792A" w:rsidRDefault="0079792A"/>
    <w:p w:rsidR="0079792A" w:rsidRDefault="0079792A"/>
    <w:p w:rsidR="0079792A" w:rsidRDefault="0079792A"/>
    <w:p w:rsidR="0079792A" w:rsidRDefault="0079792A"/>
    <w:p w:rsidR="0079792A" w:rsidRDefault="0079792A"/>
    <w:p w:rsidR="00B14C9E" w:rsidRDefault="00B14C9E"/>
    <w:p w:rsidR="00B14C9E" w:rsidRDefault="00B14C9E"/>
    <w:p w:rsidR="00B14C9E" w:rsidRDefault="00B14C9E"/>
    <w:p w:rsidR="0079792A" w:rsidRDefault="0079792A"/>
    <w:p w:rsidR="0079792A" w:rsidRDefault="0079792A"/>
    <w:p w:rsidR="00393C5A" w:rsidRDefault="00393C5A"/>
    <w:p w:rsidR="00393C5A" w:rsidRDefault="00393C5A"/>
    <w:p w:rsidR="00702AFA" w:rsidRDefault="00702AFA"/>
    <w:p w:rsidR="00702AFA" w:rsidRDefault="00702AFA"/>
    <w:p w:rsidR="00702AFA" w:rsidRDefault="00702AFA"/>
    <w:p w:rsidR="00702AFA" w:rsidRDefault="00702AFA"/>
    <w:p w:rsidR="00702AFA" w:rsidRDefault="00702AFA"/>
    <w:p w:rsidR="00702AFA" w:rsidRDefault="00702AFA"/>
    <w:p w:rsidR="00702AFA" w:rsidRDefault="00702AFA"/>
    <w:p w:rsidR="00C454A7" w:rsidRDefault="00C454A7"/>
    <w:p w:rsidR="00C454A7" w:rsidRDefault="00C454A7"/>
    <w:p w:rsidR="0079792A" w:rsidRDefault="0079792A">
      <w:pPr>
        <w:rPr>
          <w:szCs w:val="21"/>
        </w:rPr>
      </w:pPr>
      <w:r w:rsidRPr="0079792A">
        <w:rPr>
          <w:rFonts w:hint="eastAsia"/>
          <w:b/>
          <w:sz w:val="36"/>
          <w:szCs w:val="36"/>
          <w:u w:val="single"/>
        </w:rPr>
        <w:t>要精検率</w:t>
      </w:r>
    </w:p>
    <w:p w:rsidR="00EB1008" w:rsidRDefault="00EB1008">
      <w:pPr>
        <w:rPr>
          <w:noProof/>
          <w:szCs w:val="21"/>
        </w:rPr>
      </w:pPr>
    </w:p>
    <w:p w:rsidR="0079792A" w:rsidRDefault="00EB1008">
      <w:pPr>
        <w:rPr>
          <w:szCs w:val="21"/>
        </w:rPr>
      </w:pPr>
      <w:r>
        <w:rPr>
          <w:noProof/>
          <w:szCs w:val="21"/>
        </w:rPr>
        <w:drawing>
          <wp:anchor distT="0" distB="0" distL="114300" distR="114300" simplePos="0" relativeHeight="251643392" behindDoc="0" locked="0" layoutInCell="1" allowOverlap="1">
            <wp:simplePos x="0" y="0"/>
            <wp:positionH relativeFrom="column">
              <wp:posOffset>1700458</wp:posOffset>
            </wp:positionH>
            <wp:positionV relativeFrom="paragraph">
              <wp:posOffset>8387</wp:posOffset>
            </wp:positionV>
            <wp:extent cx="5230100" cy="3180152"/>
            <wp:effectExtent l="0" t="0" r="889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881"/>
                    <a:stretch/>
                  </pic:blipFill>
                  <pic:spPr bwMode="auto">
                    <a:xfrm>
                      <a:off x="0" y="0"/>
                      <a:ext cx="5230100" cy="3180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792A" w:rsidRPr="00C454A7" w:rsidRDefault="00702AFA" w:rsidP="00C454A7">
      <w:pPr>
        <w:rPr>
          <w:szCs w:val="21"/>
        </w:rPr>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374770</wp:posOffset>
            </wp:positionV>
            <wp:extent cx="1533525" cy="2228850"/>
            <wp:effectExtent l="0" t="0" r="9525" b="0"/>
            <wp:wrapSquare wrapText="bothSides"/>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大腸がん要精検率ランキング!$L$2:$M$14" spid="_x0000_s11445"/>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22288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pPr w:leftFromText="142" w:rightFromText="142" w:vertAnchor="page" w:horzAnchor="margin" w:tblpY="787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C454A7" w:rsidRPr="0079792A" w:rsidTr="00C454A7">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C454A7" w:rsidRPr="0079792A" w:rsidTr="00C454A7">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rsidR="0079792A" w:rsidRP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C454A7" w:rsidRDefault="00C454A7" w:rsidP="00C454A7">
      <w:pPr>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C454A7" w:rsidRPr="0079792A" w:rsidRDefault="00C454A7" w:rsidP="00C454A7">
      <w:pPr>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治療が必要になります。症状のある場合は、必ず医療機関を受診してください。</w:t>
      </w:r>
    </w:p>
    <w:p w:rsidR="0079792A" w:rsidRDefault="0079792A">
      <w:pPr>
        <w:rPr>
          <w:szCs w:val="21"/>
        </w:rPr>
      </w:pPr>
    </w:p>
    <w:p w:rsidR="00C454A7" w:rsidRDefault="00C454A7">
      <w:pPr>
        <w:rPr>
          <w:szCs w:val="21"/>
        </w:rPr>
      </w:pPr>
    </w:p>
    <w:p w:rsidR="00C454A7" w:rsidRPr="00C454A7" w:rsidRDefault="00C454A7">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B14C9E" w:rsidRDefault="00B14C9E">
      <w:pPr>
        <w:rPr>
          <w:szCs w:val="21"/>
        </w:rPr>
      </w:pPr>
    </w:p>
    <w:p w:rsidR="00B14C9E" w:rsidRDefault="00B14C9E">
      <w:pPr>
        <w:rPr>
          <w:szCs w:val="21"/>
        </w:rPr>
      </w:pPr>
    </w:p>
    <w:p w:rsidR="0079792A" w:rsidRDefault="0079792A">
      <w:pPr>
        <w:rPr>
          <w:szCs w:val="21"/>
        </w:rPr>
      </w:pPr>
    </w:p>
    <w:p w:rsidR="0079792A" w:rsidRDefault="0079792A">
      <w:pPr>
        <w:rPr>
          <w:szCs w:val="21"/>
        </w:rPr>
      </w:pPr>
    </w:p>
    <w:p w:rsidR="00C454A7" w:rsidRDefault="00C454A7">
      <w:pPr>
        <w:rPr>
          <w:szCs w:val="21"/>
        </w:rPr>
      </w:pPr>
    </w:p>
    <w:p w:rsidR="00C454A7" w:rsidRDefault="00C454A7">
      <w:pPr>
        <w:rPr>
          <w:szCs w:val="21"/>
        </w:rPr>
      </w:pPr>
    </w:p>
    <w:p w:rsidR="00C454A7" w:rsidRDefault="00C454A7">
      <w:pPr>
        <w:rPr>
          <w:szCs w:val="21"/>
        </w:rPr>
      </w:pPr>
    </w:p>
    <w:p w:rsidR="0079792A" w:rsidRDefault="0079792A">
      <w:pPr>
        <w:rPr>
          <w:szCs w:val="21"/>
        </w:rPr>
      </w:pPr>
      <w:r w:rsidRPr="0079792A">
        <w:rPr>
          <w:rFonts w:hint="eastAsia"/>
          <w:b/>
          <w:sz w:val="36"/>
          <w:szCs w:val="36"/>
          <w:u w:val="single"/>
        </w:rPr>
        <w:t>精検受診率</w:t>
      </w:r>
    </w:p>
    <w:p w:rsidR="0079792A" w:rsidRDefault="0079792A">
      <w:pPr>
        <w:rPr>
          <w:szCs w:val="21"/>
        </w:rPr>
      </w:pPr>
    </w:p>
    <w:p w:rsidR="0079792A" w:rsidRPr="0079792A" w:rsidRDefault="00EB1008">
      <w:pPr>
        <w:rPr>
          <w:szCs w:val="21"/>
        </w:rPr>
      </w:pPr>
      <w:r>
        <w:rPr>
          <w:noProof/>
        </w:rPr>
        <mc:AlternateContent>
          <mc:Choice Requires="wps">
            <w:drawing>
              <wp:anchor distT="0" distB="0" distL="114300" distR="114300" simplePos="0" relativeHeight="251653632" behindDoc="0" locked="0" layoutInCell="1" allowOverlap="1" wp14:anchorId="5804F2F4" wp14:editId="50E9609E">
                <wp:simplePos x="0" y="0"/>
                <wp:positionH relativeFrom="column">
                  <wp:posOffset>5537080</wp:posOffset>
                </wp:positionH>
                <wp:positionV relativeFrom="paragraph">
                  <wp:posOffset>598278</wp:posOffset>
                </wp:positionV>
                <wp:extent cx="1735231" cy="419100"/>
                <wp:effectExtent l="0" t="0" r="0" b="0"/>
                <wp:wrapNone/>
                <wp:docPr id="30" name="テキスト ボックス 2"/>
                <wp:cNvGraphicFramePr/>
                <a:graphic xmlns:a="http://schemas.openxmlformats.org/drawingml/2006/main">
                  <a:graphicData uri="http://schemas.microsoft.com/office/word/2010/wordprocessingShape">
                    <wps:wsp>
                      <wps:cNvSpPr txBox="1"/>
                      <wps:spPr>
                        <a:xfrm>
                          <a:off x="0" y="0"/>
                          <a:ext cx="1735231" cy="419100"/>
                        </a:xfrm>
                        <a:prstGeom prst="rect">
                          <a:avLst/>
                        </a:prstGeom>
                        <a:noFill/>
                        <a:ln w="9525" cmpd="sng">
                          <a:noFill/>
                        </a:ln>
                        <a:effectLst/>
                      </wps:spPr>
                      <wps:txbx>
                        <w:txbxContent>
                          <w:p w:rsidR="00EB1008" w:rsidRDefault="00EB1008" w:rsidP="00EB1008">
                            <w:pPr>
                              <w:pStyle w:val="Web"/>
                              <w:spacing w:before="0" w:beforeAutospacing="0" w:after="0" w:afterAutospacing="0"/>
                            </w:pPr>
                            <w:r>
                              <w:rPr>
                                <w:rFonts w:ascii="Calibri" w:cs="+mn-cs" w:hint="eastAsia"/>
                                <w:color w:val="000000"/>
                                <w:sz w:val="18"/>
                                <w:szCs w:val="18"/>
                              </w:rPr>
                              <w:t xml:space="preserve">大阪府平均　　</w:t>
                            </w:r>
                            <w:r>
                              <w:rPr>
                                <w:rFonts w:ascii="Calibri" w:hAnsi="Calibri" w:cs="+mn-cs"/>
                                <w:color w:val="000000"/>
                                <w:sz w:val="18"/>
                                <w:szCs w:val="18"/>
                              </w:rPr>
                              <w:t>75.1</w:t>
                            </w:r>
                          </w:p>
                        </w:txbxContent>
                      </wps:txbx>
                      <wps:bodyPr vertOverflow="clip" wrap="square" rtlCol="0" anchor="t"/>
                    </wps:wsp>
                  </a:graphicData>
                </a:graphic>
              </wp:anchor>
            </w:drawing>
          </mc:Choice>
          <mc:Fallback>
            <w:pict>
              <v:shapetype w14:anchorId="5804F2F4" id="_x0000_t202" coordsize="21600,21600" o:spt="202" path="m,l,21600r21600,l21600,xe">
                <v:stroke joinstyle="miter"/>
                <v:path gradientshapeok="t" o:connecttype="rect"/>
              </v:shapetype>
              <v:shape id="テキスト ボックス 2" o:spid="_x0000_s1026" type="#_x0000_t202" style="position:absolute;left:0;text-align:left;margin-left:436pt;margin-top:47.1pt;width:136.65pt;height:3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" filled="f" stroked="f">
                <v:textbox>
                  <w:txbxContent>
                    <w:p w:rsidR="00EB1008" w:rsidRDefault="00EB1008" w:rsidP="00EB1008">
                      <w:pPr>
                        <w:pStyle w:val="Web"/>
                        <w:spacing w:before="0" w:beforeAutospacing="0" w:after="0" w:afterAutospacing="0"/>
                      </w:pPr>
                      <w:r>
                        <w:rPr>
                          <w:rFonts w:ascii="Calibri" w:cs="+mn-cs" w:hint="eastAsia"/>
                          <w:color w:val="000000"/>
                          <w:sz w:val="18"/>
                          <w:szCs w:val="18"/>
                        </w:rPr>
                        <w:t xml:space="preserve">大阪府平均　　</w:t>
                      </w:r>
                      <w:r>
                        <w:rPr>
                          <w:rFonts w:ascii="Calibri" w:hAnsi="Calibri" w:cs="+mn-cs"/>
                          <w:color w:val="000000"/>
                          <w:sz w:val="18"/>
                          <w:szCs w:val="18"/>
                        </w:rPr>
                        <w:t>75.1</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C019E47" wp14:editId="3AF1C17E">
                <wp:simplePos x="0" y="0"/>
                <wp:positionH relativeFrom="column">
                  <wp:posOffset>5528981</wp:posOffset>
                </wp:positionH>
                <wp:positionV relativeFrom="paragraph">
                  <wp:posOffset>745597</wp:posOffset>
                </wp:positionV>
                <wp:extent cx="1735231" cy="398930"/>
                <wp:effectExtent l="0" t="0" r="0" b="1270"/>
                <wp:wrapNone/>
                <wp:docPr id="31" name="テキスト ボックス 3"/>
                <wp:cNvGraphicFramePr/>
                <a:graphic xmlns:a="http://schemas.openxmlformats.org/drawingml/2006/main">
                  <a:graphicData uri="http://schemas.microsoft.com/office/word/2010/wordprocessingShape">
                    <wps:wsp>
                      <wps:cNvSpPr txBox="1"/>
                      <wps:spPr>
                        <a:xfrm>
                          <a:off x="0" y="0"/>
                          <a:ext cx="1735231" cy="3989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B1008" w:rsidRDefault="00EB1008" w:rsidP="00EB1008">
                            <w:pPr>
                              <w:pStyle w:val="Web"/>
                              <w:spacing w:before="0" w:beforeAutospacing="0" w:after="0" w:afterAutospacing="0"/>
                            </w:pPr>
                            <w:r>
                              <w:rPr>
                                <w:rFonts w:asciiTheme="minorHAnsi" w:eastAsiaTheme="minorEastAsia" w:hAnsi="ＭＳ 明朝" w:cstheme="minorBidi" w:hint="eastAsia"/>
                                <w:color w:val="000000"/>
                                <w:sz w:val="18"/>
                                <w:szCs w:val="18"/>
                              </w:rPr>
                              <w:t xml:space="preserve">許容値　　</w:t>
                            </w:r>
                            <w:r>
                              <w:rPr>
                                <w:rFonts w:asciiTheme="minorHAnsi" w:eastAsiaTheme="minorEastAsia" w:hAnsi="Century" w:cstheme="minorBidi"/>
                                <w:color w:val="000000"/>
                                <w:sz w:val="18"/>
                                <w:szCs w:val="18"/>
                              </w:rPr>
                              <w:t>70.0</w:t>
                            </w:r>
                            <w:r>
                              <w:rPr>
                                <w:rFonts w:asciiTheme="minorHAnsi" w:eastAsiaTheme="minorEastAsia" w:hAnsi="ＭＳ 明朝" w:cstheme="minorBidi" w:hint="eastAsia"/>
                                <w:color w:val="000000"/>
                                <w:sz w:val="18"/>
                                <w:szCs w:val="18"/>
                              </w:rPr>
                              <w:t xml:space="preserve">以上　　　</w:t>
                            </w:r>
                            <w:r>
                              <w:rPr>
                                <w:rFonts w:asciiTheme="minorHAnsi" w:eastAsiaTheme="minorEastAsia" w:hAnsi="Century" w:cstheme="minorBidi"/>
                                <w:color w:val="000000"/>
                                <w:sz w:val="18"/>
                                <w:szCs w:val="18"/>
                              </w:rPr>
                              <w:t xml:space="preserve"> </w:t>
                            </w:r>
                          </w:p>
                        </w:txbxContent>
                      </wps:txbx>
                      <wps:bodyPr vertOverflow="clip" wrap="square" rtlCol="0" anchor="t"/>
                    </wps:wsp>
                  </a:graphicData>
                </a:graphic>
              </wp:anchor>
            </w:drawing>
          </mc:Choice>
          <mc:Fallback>
            <w:pict>
              <v:shape w14:anchorId="7C019E47" id="テキスト ボックス 3" o:spid="_x0000_s1027" type="#_x0000_t202" style="position:absolute;left:0;text-align:left;margin-left:435.35pt;margin-top:58.7pt;width:136.65pt;height:31.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" filled="f" stroked="f">
                <v:textbox>
                  <w:txbxContent>
                    <w:p w:rsidR="00EB1008" w:rsidRDefault="00EB1008" w:rsidP="00EB1008">
                      <w:pPr>
                        <w:pStyle w:val="Web"/>
                        <w:spacing w:before="0" w:beforeAutospacing="0" w:after="0" w:afterAutospacing="0"/>
                      </w:pPr>
                      <w:r>
                        <w:rPr>
                          <w:rFonts w:asciiTheme="minorHAnsi" w:eastAsiaTheme="minorEastAsia" w:hAnsi="ＭＳ 明朝" w:cstheme="minorBidi" w:hint="eastAsia"/>
                          <w:color w:val="000000"/>
                          <w:sz w:val="18"/>
                          <w:szCs w:val="18"/>
                        </w:rPr>
                        <w:t xml:space="preserve">許容値　　</w:t>
                      </w:r>
                      <w:r>
                        <w:rPr>
                          <w:rFonts w:asciiTheme="minorHAnsi" w:eastAsiaTheme="minorEastAsia" w:hAnsi="Century" w:cstheme="minorBidi"/>
                          <w:color w:val="000000"/>
                          <w:sz w:val="18"/>
                          <w:szCs w:val="18"/>
                        </w:rPr>
                        <w:t>70.0</w:t>
                      </w:r>
                      <w:r>
                        <w:rPr>
                          <w:rFonts w:asciiTheme="minorHAnsi" w:eastAsiaTheme="minorEastAsia" w:hAnsi="ＭＳ 明朝" w:cstheme="minorBidi" w:hint="eastAsia"/>
                          <w:color w:val="000000"/>
                          <w:sz w:val="18"/>
                          <w:szCs w:val="18"/>
                        </w:rPr>
                        <w:t xml:space="preserve">以上　　　</w:t>
                      </w:r>
                      <w:r>
                        <w:rPr>
                          <w:rFonts w:asciiTheme="minorHAnsi" w:eastAsiaTheme="minorEastAsia" w:hAnsi="Century" w:cstheme="minorBidi"/>
                          <w:color w:val="000000"/>
                          <w:sz w:val="18"/>
                          <w:szCs w:val="18"/>
                        </w:rPr>
                        <w:t xml:space="preserve"> </w:t>
                      </w:r>
                    </w:p>
                  </w:txbxContent>
                </v:textbox>
              </v:shape>
            </w:pict>
          </mc:Fallback>
        </mc:AlternateContent>
      </w:r>
      <w:r>
        <w:rPr>
          <w:noProof/>
          <w:szCs w:val="21"/>
        </w:rPr>
        <w:drawing>
          <wp:anchor distT="0" distB="0" distL="114300" distR="114300" simplePos="0" relativeHeight="251651584" behindDoc="0" locked="0" layoutInCell="1" allowOverlap="1">
            <wp:simplePos x="0" y="0"/>
            <wp:positionH relativeFrom="column">
              <wp:posOffset>1604513</wp:posOffset>
            </wp:positionH>
            <wp:positionV relativeFrom="paragraph">
              <wp:posOffset>245374</wp:posOffset>
            </wp:positionV>
            <wp:extent cx="5300345" cy="2663825"/>
            <wp:effectExtent l="0" t="0" r="0" b="3175"/>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0345" cy="266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92A">
        <w:rPr>
          <w:rFonts w:hint="eastAsia"/>
          <w:szCs w:val="21"/>
        </w:rPr>
        <w:t xml:space="preserve">　　</w:t>
      </w:r>
    </w:p>
    <w:p w:rsidR="0079792A" w:rsidRDefault="0079792A">
      <w:pPr>
        <w:rPr>
          <w:szCs w:val="21"/>
        </w:rPr>
      </w:pPr>
    </w:p>
    <w:p w:rsidR="0079792A" w:rsidRDefault="00702AFA">
      <w:pPr>
        <w:rPr>
          <w:szCs w:val="21"/>
        </w:rPr>
      </w:pPr>
      <w:r w:rsidRPr="00702AFA">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223472</wp:posOffset>
            </wp:positionV>
            <wp:extent cx="1544320" cy="2233930"/>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2233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792A" w:rsidRDefault="0079792A">
      <w:pPr>
        <w:rPr>
          <w:szCs w:val="21"/>
        </w:rPr>
      </w:pPr>
    </w:p>
    <w:tbl>
      <w:tblPr>
        <w:tblpPr w:leftFromText="142" w:rightFromText="142" w:vertAnchor="text" w:horzAnchor="margin" w:tblpY="164"/>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79792A" w:rsidRPr="0079792A" w:rsidTr="007D45ED">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79792A" w:rsidRPr="0079792A" w:rsidTr="007D45ED">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393C5A" w:rsidRDefault="00393C5A">
      <w:pPr>
        <w:rPr>
          <w:szCs w:val="21"/>
        </w:rPr>
      </w:pPr>
    </w:p>
    <w:p w:rsidR="002C6A58" w:rsidRDefault="002C6A58">
      <w:pPr>
        <w:rPr>
          <w:szCs w:val="21"/>
        </w:rPr>
      </w:pPr>
    </w:p>
    <w:p w:rsidR="00C454A7" w:rsidRDefault="00C454A7">
      <w:pPr>
        <w:rPr>
          <w:szCs w:val="21"/>
        </w:rPr>
      </w:pPr>
    </w:p>
    <w:p w:rsidR="00C454A7" w:rsidRDefault="00C454A7">
      <w:pPr>
        <w:rPr>
          <w:szCs w:val="21"/>
        </w:rPr>
      </w:pPr>
    </w:p>
    <w:p w:rsidR="002C6A58" w:rsidRDefault="002C6A58">
      <w:pPr>
        <w:rPr>
          <w:szCs w:val="21"/>
        </w:rPr>
      </w:pPr>
      <w:r w:rsidRPr="002C6A58">
        <w:rPr>
          <w:rFonts w:hint="eastAsia"/>
          <w:b/>
          <w:sz w:val="36"/>
          <w:szCs w:val="36"/>
          <w:u w:val="single"/>
        </w:rPr>
        <w:t>陽性反応適中度</w:t>
      </w:r>
    </w:p>
    <w:p w:rsidR="002C6A58" w:rsidRDefault="002C6A58">
      <w:pPr>
        <w:rPr>
          <w:szCs w:val="21"/>
        </w:rPr>
      </w:pPr>
    </w:p>
    <w:p w:rsidR="00C454A7" w:rsidRDefault="00A54F57">
      <w:pPr>
        <w:rPr>
          <w:szCs w:val="21"/>
        </w:rPr>
      </w:pPr>
      <w:r w:rsidRPr="00A54F57">
        <w:rPr>
          <w:rFonts w:hint="eastAsia"/>
          <w:noProof/>
        </w:rPr>
        <w:drawing>
          <wp:anchor distT="0" distB="0" distL="114300" distR="114300" simplePos="0" relativeHeight="251673088" behindDoc="0" locked="0" layoutInCell="1" allowOverlap="1">
            <wp:simplePos x="0" y="0"/>
            <wp:positionH relativeFrom="column">
              <wp:posOffset>171450</wp:posOffset>
            </wp:positionH>
            <wp:positionV relativeFrom="paragraph">
              <wp:posOffset>391795</wp:posOffset>
            </wp:positionV>
            <wp:extent cx="1544320" cy="2233930"/>
            <wp:effectExtent l="0" t="0" r="0" b="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320" cy="2233930"/>
                    </a:xfrm>
                    <a:prstGeom prst="rect">
                      <a:avLst/>
                    </a:prstGeom>
                    <a:noFill/>
                    <a:ln>
                      <a:noFill/>
                    </a:ln>
                  </pic:spPr>
                </pic:pic>
              </a:graphicData>
            </a:graphic>
          </wp:anchor>
        </w:drawing>
      </w:r>
      <w:r>
        <w:rPr>
          <w:noProof/>
          <w:szCs w:val="21"/>
        </w:rPr>
        <w:drawing>
          <wp:anchor distT="0" distB="0" distL="114300" distR="114300" simplePos="0" relativeHeight="251670016" behindDoc="0" locked="0" layoutInCell="1" allowOverlap="1">
            <wp:simplePos x="0" y="0"/>
            <wp:positionH relativeFrom="column">
              <wp:posOffset>1915064</wp:posOffset>
            </wp:positionH>
            <wp:positionV relativeFrom="paragraph">
              <wp:posOffset>159086</wp:posOffset>
            </wp:positionV>
            <wp:extent cx="4968815" cy="2503309"/>
            <wp:effectExtent l="0" t="0" r="381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8815" cy="2503309"/>
                    </a:xfrm>
                    <a:prstGeom prst="rect">
                      <a:avLst/>
                    </a:prstGeom>
                    <a:noFill/>
                    <a:ln>
                      <a:noFill/>
                    </a:ln>
                  </pic:spPr>
                </pic:pic>
              </a:graphicData>
            </a:graphic>
          </wp:anchor>
        </w:drawing>
      </w:r>
    </w:p>
    <w:p w:rsidR="00C454A7" w:rsidRDefault="00C454A7">
      <w:pPr>
        <w:rPr>
          <w:szCs w:val="21"/>
        </w:rPr>
      </w:pPr>
    </w:p>
    <w:p w:rsidR="002C6A58" w:rsidRDefault="002C6A58">
      <w:pPr>
        <w:rPr>
          <w:szCs w:val="21"/>
        </w:rPr>
      </w:pPr>
      <w:r>
        <w:rPr>
          <w:rFonts w:hint="eastAsia"/>
          <w:szCs w:val="21"/>
        </w:rPr>
        <w:t xml:space="preserve">　　</w:t>
      </w:r>
    </w:p>
    <w:p w:rsidR="002C6A58" w:rsidRDefault="002C6A58">
      <w:pPr>
        <w:rPr>
          <w:rFonts w:hint="eastAsia"/>
          <w:szCs w:val="21"/>
        </w:rPr>
      </w:pPr>
    </w:p>
    <w:tbl>
      <w:tblPr>
        <w:tblpPr w:leftFromText="142" w:rightFromText="142" w:vertAnchor="page" w:horzAnchor="margin" w:tblpY="829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FA561E" w:rsidRPr="002C6A58" w:rsidTr="00FA561E">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FA561E">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FA561E">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FA561E">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FA561E" w:rsidRPr="002C6A58" w:rsidTr="00FA561E">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FA561E">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rsidR="00FA561E" w:rsidRPr="002C6A58" w:rsidRDefault="00FA561E" w:rsidP="00FA561E">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FA561E">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FA561E">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rsidR="00FA561E" w:rsidRPr="002C6A58" w:rsidRDefault="00FA561E" w:rsidP="00FA561E">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79792A" w:rsidRDefault="0079792A">
      <w:pPr>
        <w:rPr>
          <w:szCs w:val="21"/>
        </w:rPr>
      </w:pPr>
    </w:p>
    <w:p w:rsidR="00221844" w:rsidRDefault="002C6A58" w:rsidP="002C6A58">
      <w:pPr>
        <w:rPr>
          <w:rFonts w:ascii="Century" w:eastAsia="ＭＳ 明朝" w:hAnsi="Century" w:cs="Times New Roman"/>
          <w:sz w:val="18"/>
          <w:szCs w:val="18"/>
        </w:rPr>
      </w:pPr>
      <w:r w:rsidRPr="002C6A58">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2C6A58" w:rsidRPr="002C6A58" w:rsidRDefault="002C6A58" w:rsidP="00221844">
      <w:pPr>
        <w:ind w:firstLineChars="300" w:firstLine="540"/>
        <w:rPr>
          <w:rFonts w:ascii="Century" w:eastAsia="ＭＳ 明朝" w:hAnsi="Century" w:cs="Times New Roman"/>
          <w:sz w:val="18"/>
          <w:szCs w:val="18"/>
        </w:rPr>
      </w:pPr>
      <w:r w:rsidRPr="002C6A58">
        <w:rPr>
          <w:rFonts w:ascii="Century" w:eastAsia="ＭＳ 明朝" w:hAnsi="Century" w:cs="Times New Roman" w:hint="eastAsia"/>
          <w:sz w:val="18"/>
          <w:szCs w:val="18"/>
        </w:rPr>
        <w:t>治療が必要になります。症状のある場合は、必ず医療機関を受診してください。</w:t>
      </w: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79792A" w:rsidRDefault="0079792A">
      <w:pPr>
        <w:rPr>
          <w:szCs w:val="21"/>
        </w:rPr>
      </w:pPr>
      <w:r w:rsidRPr="0079792A">
        <w:rPr>
          <w:rFonts w:hint="eastAsia"/>
          <w:b/>
          <w:sz w:val="36"/>
          <w:szCs w:val="36"/>
          <w:u w:val="single"/>
        </w:rPr>
        <w:t>がん発見率</w:t>
      </w:r>
    </w:p>
    <w:p w:rsidR="0079792A" w:rsidRDefault="00A54F57">
      <w:pPr>
        <w:rPr>
          <w:szCs w:val="21"/>
        </w:rPr>
      </w:pPr>
      <w:r>
        <w:rPr>
          <w:noProof/>
          <w:szCs w:val="21"/>
        </w:rPr>
        <w:drawing>
          <wp:anchor distT="0" distB="0" distL="114300" distR="114300" simplePos="0" relativeHeight="251679232" behindDoc="0" locked="0" layoutInCell="1" allowOverlap="1">
            <wp:simplePos x="0" y="0"/>
            <wp:positionH relativeFrom="column">
              <wp:posOffset>1846052</wp:posOffset>
            </wp:positionH>
            <wp:positionV relativeFrom="paragraph">
              <wp:posOffset>153826</wp:posOffset>
            </wp:positionV>
            <wp:extent cx="4907915" cy="2510155"/>
            <wp:effectExtent l="0" t="0" r="6985" b="4445"/>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7915" cy="2510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792A" w:rsidRDefault="00BD424C">
      <w:pPr>
        <w:rPr>
          <w:szCs w:val="21"/>
        </w:rPr>
      </w:pPr>
      <w:r w:rsidRPr="00BD424C">
        <w:rPr>
          <w:noProof/>
        </w:rPr>
        <mc:AlternateContent>
          <mc:Choice Requires="wps">
            <w:drawing>
              <wp:anchor distT="0" distB="0" distL="114300" distR="114300" simplePos="0" relativeHeight="251683328" behindDoc="0" locked="0" layoutInCell="1" allowOverlap="1" wp14:anchorId="6374DEB9" wp14:editId="114D88A9">
                <wp:simplePos x="0" y="0"/>
                <wp:positionH relativeFrom="column">
                  <wp:posOffset>5365522</wp:posOffset>
                </wp:positionH>
                <wp:positionV relativeFrom="paragraph">
                  <wp:posOffset>845053</wp:posOffset>
                </wp:positionV>
                <wp:extent cx="1735231" cy="398930"/>
                <wp:effectExtent l="0" t="0" r="0" b="1270"/>
                <wp:wrapNone/>
                <wp:docPr id="40" name="テキスト ボックス 3"/>
                <wp:cNvGraphicFramePr/>
                <a:graphic xmlns:a="http://schemas.openxmlformats.org/drawingml/2006/main">
                  <a:graphicData uri="http://schemas.microsoft.com/office/word/2010/wordprocessingShape">
                    <wps:wsp>
                      <wps:cNvSpPr txBox="1"/>
                      <wps:spPr>
                        <a:xfrm>
                          <a:off x="0" y="0"/>
                          <a:ext cx="1735231" cy="398930"/>
                        </a:xfrm>
                        <a:prstGeom prst="rect">
                          <a:avLst/>
                        </a:prstGeom>
                        <a:noFill/>
                        <a:ln w="9525" cmpd="sng">
                          <a:noFill/>
                        </a:ln>
                        <a:effectLst/>
                      </wps:spPr>
                      <wps:txbx>
                        <w:txbxContent>
                          <w:p w:rsidR="00BD424C" w:rsidRDefault="00BD424C" w:rsidP="00BD424C">
                            <w:pPr>
                              <w:pStyle w:val="Web"/>
                              <w:spacing w:before="0" w:beforeAutospacing="0" w:after="0" w:afterAutospacing="0"/>
                            </w:pPr>
                            <w:r>
                              <w:rPr>
                                <w:rFonts w:ascii="Calibri" w:cs="+mn-cs" w:hint="eastAsia"/>
                                <w:color w:val="000000"/>
                                <w:sz w:val="18"/>
                                <w:szCs w:val="18"/>
                              </w:rPr>
                              <w:t xml:space="preserve">許容値　　</w:t>
                            </w:r>
                            <w:r>
                              <w:rPr>
                                <w:rFonts w:ascii="Calibri" w:hAnsi="Calibri" w:cs="+mn-cs"/>
                                <w:color w:val="000000"/>
                                <w:sz w:val="18"/>
                                <w:szCs w:val="18"/>
                              </w:rPr>
                              <w:t>0.13</w:t>
                            </w:r>
                            <w:r>
                              <w:rPr>
                                <w:rFonts w:ascii="Calibri" w:cs="+mn-cs" w:hint="eastAsia"/>
                                <w:color w:val="000000"/>
                                <w:sz w:val="18"/>
                                <w:szCs w:val="18"/>
                              </w:rPr>
                              <w:t>以上</w:t>
                            </w:r>
                          </w:p>
                        </w:txbxContent>
                      </wps:txbx>
                      <wps:bodyPr vertOverflow="clip" wrap="square" rtlCol="0" anchor="t"/>
                    </wps:wsp>
                  </a:graphicData>
                </a:graphic>
              </wp:anchor>
            </w:drawing>
          </mc:Choice>
          <mc:Fallback>
            <w:pict>
              <v:shape w14:anchorId="6374DEB9" id="_x0000_s1028" type="#_x0000_t202" style="position:absolute;left:0;text-align:left;margin-left:422.5pt;margin-top:66.55pt;width:136.65pt;height:31.4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" filled="f" stroked="f">
                <v:textbox>
                  <w:txbxContent>
                    <w:p w:rsidR="00BD424C" w:rsidRDefault="00BD424C" w:rsidP="00BD424C">
                      <w:pPr>
                        <w:pStyle w:val="Web"/>
                        <w:spacing w:before="0" w:beforeAutospacing="0" w:after="0" w:afterAutospacing="0"/>
                      </w:pPr>
                      <w:r>
                        <w:rPr>
                          <w:rFonts w:ascii="Calibri" w:cs="+mn-cs" w:hint="eastAsia"/>
                          <w:color w:val="000000"/>
                          <w:sz w:val="18"/>
                          <w:szCs w:val="18"/>
                        </w:rPr>
                        <w:t xml:space="preserve">許容値　　</w:t>
                      </w:r>
                      <w:r>
                        <w:rPr>
                          <w:rFonts w:ascii="Calibri" w:hAnsi="Calibri" w:cs="+mn-cs"/>
                          <w:color w:val="000000"/>
                          <w:sz w:val="18"/>
                          <w:szCs w:val="18"/>
                        </w:rPr>
                        <w:t>0.13</w:t>
                      </w:r>
                      <w:r>
                        <w:rPr>
                          <w:rFonts w:ascii="Calibri" w:cs="+mn-cs" w:hint="eastAsia"/>
                          <w:color w:val="000000"/>
                          <w:sz w:val="18"/>
                          <w:szCs w:val="18"/>
                        </w:rPr>
                        <w:t>以上</w:t>
                      </w:r>
                    </w:p>
                  </w:txbxContent>
                </v:textbox>
              </v:shape>
            </w:pict>
          </mc:Fallback>
        </mc:AlternateContent>
      </w:r>
      <w:r w:rsidRPr="00BD424C">
        <w:rPr>
          <w:noProof/>
        </w:rPr>
        <mc:AlternateContent>
          <mc:Choice Requires="wps">
            <w:drawing>
              <wp:anchor distT="0" distB="0" distL="114300" distR="114300" simplePos="0" relativeHeight="251681280" behindDoc="0" locked="0" layoutInCell="1" allowOverlap="1" wp14:anchorId="110A8E72" wp14:editId="7D5EF084">
                <wp:simplePos x="0" y="0"/>
                <wp:positionH relativeFrom="column">
                  <wp:posOffset>5356896</wp:posOffset>
                </wp:positionH>
                <wp:positionV relativeFrom="paragraph">
                  <wp:posOffset>638019</wp:posOffset>
                </wp:positionV>
                <wp:extent cx="1735231" cy="398929"/>
                <wp:effectExtent l="0" t="0" r="0" b="1270"/>
                <wp:wrapNone/>
                <wp:docPr id="39" name="テキスト ボックス 2"/>
                <wp:cNvGraphicFramePr/>
                <a:graphic xmlns:a="http://schemas.openxmlformats.org/drawingml/2006/main">
                  <a:graphicData uri="http://schemas.microsoft.com/office/word/2010/wordprocessingShape">
                    <wps:wsp>
                      <wps:cNvSpPr txBox="1"/>
                      <wps:spPr>
                        <a:xfrm>
                          <a:off x="0" y="0"/>
                          <a:ext cx="1735231" cy="398929"/>
                        </a:xfrm>
                        <a:prstGeom prst="rect">
                          <a:avLst/>
                        </a:prstGeom>
                        <a:noFill/>
                        <a:ln w="9525" cmpd="sng">
                          <a:noFill/>
                        </a:ln>
                        <a:effectLst/>
                      </wps:spPr>
                      <wps:txbx>
                        <w:txbxContent>
                          <w:p w:rsidR="00BD424C" w:rsidRDefault="00BD424C" w:rsidP="00BD424C">
                            <w:pPr>
                              <w:pStyle w:val="Web"/>
                              <w:spacing w:before="0" w:beforeAutospacing="0" w:after="0" w:afterAutospacing="0"/>
                            </w:pPr>
                            <w:r>
                              <w:rPr>
                                <w:rFonts w:ascii="Calibri" w:cs="+mn-cs" w:hint="eastAsia"/>
                                <w:color w:val="000000"/>
                                <w:sz w:val="18"/>
                                <w:szCs w:val="18"/>
                              </w:rPr>
                              <w:t xml:space="preserve">大阪府平均　</w:t>
                            </w:r>
                            <w:r>
                              <w:rPr>
                                <w:rFonts w:ascii="Calibri" w:hAnsi="Calibri" w:cs="+mn-cs"/>
                                <w:color w:val="000000"/>
                                <w:sz w:val="18"/>
                                <w:szCs w:val="18"/>
                              </w:rPr>
                              <w:t>0.31</w:t>
                            </w:r>
                          </w:p>
                        </w:txbxContent>
                      </wps:txbx>
                      <wps:bodyPr vertOverflow="clip" wrap="square" rtlCol="0" anchor="t"/>
                    </wps:wsp>
                  </a:graphicData>
                </a:graphic>
              </wp:anchor>
            </w:drawing>
          </mc:Choice>
          <mc:Fallback>
            <w:pict>
              <v:shape w14:anchorId="110A8E72" id="_x0000_s1029" type="#_x0000_t202" style="position:absolute;left:0;text-align:left;margin-left:421.8pt;margin-top:50.25pt;width:136.65pt;height:31.4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" filled="f" stroked="f">
                <v:textbox>
                  <w:txbxContent>
                    <w:p w:rsidR="00BD424C" w:rsidRDefault="00BD424C" w:rsidP="00BD424C">
                      <w:pPr>
                        <w:pStyle w:val="Web"/>
                        <w:spacing w:before="0" w:beforeAutospacing="0" w:after="0" w:afterAutospacing="0"/>
                      </w:pPr>
                      <w:r>
                        <w:rPr>
                          <w:rFonts w:ascii="Calibri" w:cs="+mn-cs" w:hint="eastAsia"/>
                          <w:color w:val="000000"/>
                          <w:sz w:val="18"/>
                          <w:szCs w:val="18"/>
                        </w:rPr>
                        <w:t xml:space="preserve">大阪府平均　</w:t>
                      </w:r>
                      <w:r>
                        <w:rPr>
                          <w:rFonts w:ascii="Calibri" w:hAnsi="Calibri" w:cs="+mn-cs"/>
                          <w:color w:val="000000"/>
                          <w:sz w:val="18"/>
                          <w:szCs w:val="18"/>
                        </w:rPr>
                        <w:t>0.31</w:t>
                      </w:r>
                    </w:p>
                  </w:txbxContent>
                </v:textbox>
              </v:shape>
            </w:pict>
          </mc:Fallback>
        </mc:AlternateContent>
      </w:r>
      <w:r w:rsidR="00A54F57" w:rsidRPr="00A54F57">
        <w:rPr>
          <w:rFonts w:hint="eastAsia"/>
          <w:noProof/>
        </w:rPr>
        <w:drawing>
          <wp:inline distT="0" distB="0" distL="0" distR="0">
            <wp:extent cx="1544320" cy="24066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4320" cy="2406650"/>
                    </a:xfrm>
                    <a:prstGeom prst="rect">
                      <a:avLst/>
                    </a:prstGeom>
                    <a:noFill/>
                    <a:ln>
                      <a:noFill/>
                    </a:ln>
                  </pic:spPr>
                </pic:pic>
              </a:graphicData>
            </a:graphic>
          </wp:inline>
        </w:drawing>
      </w:r>
      <w:r w:rsidR="0079792A">
        <w:rPr>
          <w:rFonts w:hint="eastAsia"/>
          <w:szCs w:val="21"/>
        </w:rPr>
        <w:t xml:space="preserve">　　</w:t>
      </w:r>
    </w:p>
    <w:p w:rsidR="0079792A" w:rsidRDefault="0079792A">
      <w:pPr>
        <w:rPr>
          <w:szCs w:val="21"/>
        </w:rPr>
      </w:pPr>
    </w:p>
    <w:p w:rsidR="0079792A" w:rsidRDefault="0079792A">
      <w:pPr>
        <w:rPr>
          <w:szCs w:val="21"/>
        </w:rPr>
      </w:pPr>
    </w:p>
    <w:p w:rsidR="0079792A" w:rsidRDefault="0079792A">
      <w:pPr>
        <w:rPr>
          <w:szCs w:val="21"/>
        </w:rPr>
      </w:pPr>
    </w:p>
    <w:tbl>
      <w:tblPr>
        <w:tblpPr w:leftFromText="142" w:rightFromText="142" w:vertAnchor="text" w:horzAnchor="margin" w:tblpY="10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457EDC" w:rsidRPr="00DB2B44" w:rsidTr="00457EDC">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457EDC">
            <w:pPr>
              <w:spacing w:line="240" w:lineRule="atLeast"/>
              <w:ind w:firstLineChars="100" w:firstLine="161"/>
              <w:jc w:val="left"/>
              <w:rPr>
                <w:rFonts w:ascii="HG丸ｺﾞｼｯｸM-PRO" w:eastAsia="HG丸ｺﾞｼｯｸM-PRO" w:hAnsi="HG丸ｺﾞｼｯｸM-PRO" w:cs="Times New Roman"/>
                <w:b/>
                <w:bCs/>
                <w:sz w:val="16"/>
                <w:szCs w:val="16"/>
              </w:rPr>
            </w:pPr>
            <w:bookmarkStart w:id="0" w:name="_GoBack"/>
            <w:bookmarkEnd w:id="0"/>
            <w:r w:rsidRPr="00DB2B44">
              <w:rPr>
                <w:rFonts w:ascii="HG丸ｺﾞｼｯｸM-PRO" w:eastAsia="HG丸ｺﾞｼｯｸM-PRO" w:hAnsi="HG丸ｺﾞｼｯｸM-PRO" w:cs="Times New Roman"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457EDC">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457EDC">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457EDC" w:rsidRPr="00DB2B44" w:rsidTr="00457EDC">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457EDC">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457EDC">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457EDC" w:rsidRPr="00DB2B44" w:rsidRDefault="00457EDC" w:rsidP="00457EDC">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457EDC">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p w:rsidR="00221844" w:rsidRDefault="00DB2B44" w:rsidP="00DB2B44">
      <w:pPr>
        <w:rPr>
          <w:rFonts w:ascii="Century" w:eastAsia="ＭＳ 明朝" w:hAnsi="Century" w:cs="Times New Roman"/>
          <w:sz w:val="18"/>
          <w:szCs w:val="18"/>
        </w:rPr>
      </w:pPr>
      <w:r w:rsidRPr="00DB2B44">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DB2B44" w:rsidRPr="00DB2B44" w:rsidRDefault="00DB2B44" w:rsidP="00221844">
      <w:pPr>
        <w:ind w:firstLineChars="300" w:firstLine="540"/>
        <w:rPr>
          <w:rFonts w:ascii="Century" w:eastAsia="ＭＳ 明朝" w:hAnsi="Century" w:cs="Times New Roman"/>
          <w:sz w:val="18"/>
          <w:szCs w:val="18"/>
        </w:rPr>
      </w:pPr>
      <w:r w:rsidRPr="00DB2B44">
        <w:rPr>
          <w:rFonts w:ascii="Century" w:eastAsia="ＭＳ 明朝" w:hAnsi="Century" w:cs="Times New Roman" w:hint="eastAsia"/>
          <w:sz w:val="18"/>
          <w:szCs w:val="18"/>
        </w:rPr>
        <w:t>治療が必要になります。症状のある場合は、必ず医療機関を受診してください。</w:t>
      </w:r>
    </w:p>
    <w:p w:rsidR="00DB2B44" w:rsidRDefault="00DB2B44" w:rsidP="00DB2B44">
      <w:pPr>
        <w:rPr>
          <w:rFonts w:ascii="Century" w:eastAsia="ＭＳ 明朝" w:hAnsi="Century" w:cs="Times New Roman"/>
          <w:b/>
          <w:sz w:val="18"/>
          <w:szCs w:val="18"/>
          <w:u w:val="single"/>
        </w:rPr>
      </w:pPr>
    </w:p>
    <w:p w:rsidR="006B6AEF" w:rsidRPr="00DB2B44" w:rsidRDefault="006B6AEF" w:rsidP="00DB2B44">
      <w:pPr>
        <w:rPr>
          <w:rFonts w:ascii="Century" w:eastAsia="ＭＳ 明朝" w:hAnsi="Century" w:cs="Times New Roman"/>
          <w:b/>
          <w:sz w:val="18"/>
          <w:szCs w:val="18"/>
          <w:u w:val="single"/>
        </w:rPr>
      </w:pP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【大阪府平均】大阪府におけるがん検診（平成</w:t>
      </w:r>
      <w:r w:rsidR="00A54F57">
        <w:rPr>
          <w:rFonts w:ascii="Century" w:eastAsia="ＭＳ 明朝" w:hAnsi="Century" w:cs="Times New Roman" w:hint="eastAsia"/>
          <w:b/>
          <w:sz w:val="18"/>
          <w:szCs w:val="18"/>
        </w:rPr>
        <w:t>28</w:t>
      </w:r>
      <w:r w:rsidRPr="00DB2B44">
        <w:rPr>
          <w:rFonts w:ascii="Century" w:eastAsia="ＭＳ 明朝" w:hAnsi="Century" w:cs="Times New Roman" w:hint="eastAsia"/>
          <w:b/>
          <w:sz w:val="18"/>
          <w:szCs w:val="18"/>
        </w:rPr>
        <w:t>年度）</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2A" w:rsidRDefault="0079792A" w:rsidP="0079792A">
      <w:r>
        <w:separator/>
      </w:r>
    </w:p>
  </w:endnote>
  <w:endnote w:type="continuationSeparator" w:id="0">
    <w:p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2A" w:rsidRDefault="0079792A" w:rsidP="0079792A">
      <w:r>
        <w:separator/>
      </w:r>
    </w:p>
  </w:footnote>
  <w:footnote w:type="continuationSeparator" w:id="0">
    <w:p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43"/>
    <w:rsid w:val="00033AA2"/>
    <w:rsid w:val="001754C5"/>
    <w:rsid w:val="00221844"/>
    <w:rsid w:val="002C6A58"/>
    <w:rsid w:val="00393C5A"/>
    <w:rsid w:val="003D3F44"/>
    <w:rsid w:val="00457EDC"/>
    <w:rsid w:val="00486343"/>
    <w:rsid w:val="00531675"/>
    <w:rsid w:val="006B6AEF"/>
    <w:rsid w:val="00702AFA"/>
    <w:rsid w:val="00751554"/>
    <w:rsid w:val="0079792A"/>
    <w:rsid w:val="008F54C3"/>
    <w:rsid w:val="00A54F57"/>
    <w:rsid w:val="00A71266"/>
    <w:rsid w:val="00B14C9E"/>
    <w:rsid w:val="00BD424C"/>
    <w:rsid w:val="00C454A7"/>
    <w:rsid w:val="00DA7E3B"/>
    <w:rsid w:val="00DB2B44"/>
    <w:rsid w:val="00EB1008"/>
    <w:rsid w:val="00FA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061F8F"/>
  <w15:docId w15:val="{F9F9B599-67DC-40F7-BC76-369C7975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 w:type="paragraph" w:styleId="Web">
    <w:name w:val="Normal (Web)"/>
    <w:basedOn w:val="a"/>
    <w:uiPriority w:val="99"/>
    <w:semiHidden/>
    <w:unhideWhenUsed/>
    <w:rsid w:val="00EB1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0766-3D33-47B6-A33E-6ACE740E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17</cp:revision>
  <dcterms:created xsi:type="dcterms:W3CDTF">2016-05-02T02:08:00Z</dcterms:created>
  <dcterms:modified xsi:type="dcterms:W3CDTF">2019-07-08T08:08:00Z</dcterms:modified>
</cp:coreProperties>
</file>