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43" w:rsidRPr="00486343" w:rsidRDefault="00486343">
      <w:pPr>
        <w:rPr>
          <w:b/>
          <w:noProof/>
          <w:sz w:val="36"/>
          <w:szCs w:val="36"/>
          <w:u w:val="single"/>
        </w:rPr>
      </w:pPr>
      <w:r w:rsidRPr="00486343">
        <w:rPr>
          <w:rFonts w:hint="eastAsia"/>
          <w:b/>
          <w:noProof/>
          <w:sz w:val="36"/>
          <w:szCs w:val="36"/>
          <w:u w:val="single"/>
        </w:rPr>
        <w:t>受診率</w:t>
      </w:r>
    </w:p>
    <w:p w:rsidR="00486343" w:rsidRDefault="00486343">
      <w:pPr>
        <w:rPr>
          <w:noProof/>
        </w:rPr>
      </w:pPr>
    </w:p>
    <w:p w:rsidR="00486343" w:rsidRDefault="00486343">
      <w:pPr>
        <w:rPr>
          <w:noProof/>
        </w:rPr>
      </w:pPr>
    </w:p>
    <w:p w:rsidR="00751554" w:rsidRDefault="00A71266">
      <w:pPr>
        <w:rPr>
          <w:noProof/>
        </w:rPr>
      </w:pPr>
      <w:r>
        <w:rPr>
          <w:noProof/>
        </w:rPr>
        <w:drawing>
          <wp:inline distT="0" distB="0" distL="0" distR="0" wp14:anchorId="2919D9D0" wp14:editId="5FC5DAA0">
            <wp:extent cx="1247775" cy="23717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大腸がん検診受診率ランキング!$L$2:$M$15" spid="_x0000_s5764"/>
                        </a:ext>
                      </a:extLst>
                    </pic:cNvPicPr>
                  </pic:nvPicPr>
                  <pic:blipFill>
                    <a:blip r:embed="rId8"/>
                    <a:srcRect/>
                    <a:stretch>
                      <a:fillRect/>
                    </a:stretch>
                  </pic:blipFill>
                  <pic:spPr bwMode="auto">
                    <a:xfrm>
                      <a:off x="0" y="0"/>
                      <a:ext cx="1248082" cy="2372309"/>
                    </a:xfrm>
                    <a:prstGeom prst="rect">
                      <a:avLst/>
                    </a:prstGeom>
                    <a:noFill/>
                    <a:extLst/>
                  </pic:spPr>
                </pic:pic>
              </a:graphicData>
            </a:graphic>
          </wp:inline>
        </w:drawing>
      </w:r>
      <w:r w:rsidR="00486343">
        <w:rPr>
          <w:rFonts w:hint="eastAsia"/>
          <w:noProof/>
        </w:rPr>
        <w:t xml:space="preserve">　　</w:t>
      </w:r>
      <w:r>
        <w:rPr>
          <w:noProof/>
        </w:rPr>
        <w:drawing>
          <wp:inline distT="0" distB="0" distL="0" distR="0" wp14:anchorId="573FE7A0" wp14:editId="36DBAF1A">
            <wp:extent cx="5029200" cy="2817641"/>
            <wp:effectExtent l="0" t="0" r="0" b="1905"/>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大腸がん検診受診率ランキング!$O$2:$W$18" spid="_x0000_s5765"/>
                        </a:ext>
                      </a:extLst>
                    </pic:cNvPicPr>
                  </pic:nvPicPr>
                  <pic:blipFill>
                    <a:blip r:embed="rId9"/>
                    <a:srcRect/>
                    <a:stretch>
                      <a:fillRect/>
                    </a:stretch>
                  </pic:blipFill>
                  <pic:spPr bwMode="auto">
                    <a:xfrm>
                      <a:off x="0" y="0"/>
                      <a:ext cx="5036225" cy="2821577"/>
                    </a:xfrm>
                    <a:prstGeom prst="rect">
                      <a:avLst/>
                    </a:prstGeom>
                    <a:noFill/>
                    <a:extLst/>
                  </pic:spPr>
                </pic:pic>
              </a:graphicData>
            </a:graphic>
          </wp:inline>
        </w:drawing>
      </w:r>
    </w:p>
    <w:p w:rsidR="00486343" w:rsidRDefault="00486343">
      <w:pPr>
        <w:rPr>
          <w:noProof/>
        </w:rPr>
      </w:pPr>
    </w:p>
    <w:p w:rsidR="00486343" w:rsidRDefault="00486343">
      <w:pPr>
        <w:rPr>
          <w:noProof/>
        </w:rPr>
      </w:pPr>
    </w:p>
    <w:tbl>
      <w:tblPr>
        <w:tblpPr w:leftFromText="142" w:rightFromText="142" w:vertAnchor="text" w:horzAnchor="margin" w:tblpXSpec="center" w:tblpY="67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486343" w:rsidRPr="00984237" w:rsidTr="00486343">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486343" w:rsidRPr="00984237" w:rsidTr="00486343">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rsidR="00486343" w:rsidRDefault="00486343"/>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393C5A" w:rsidRDefault="00393C5A">
      <w:pPr>
        <w:rPr>
          <w:rFonts w:hint="eastAsia"/>
        </w:rPr>
      </w:pPr>
    </w:p>
    <w:p w:rsidR="00393C5A" w:rsidRDefault="00393C5A"/>
    <w:p w:rsidR="0079792A" w:rsidRDefault="0079792A">
      <w:pPr>
        <w:rPr>
          <w:szCs w:val="21"/>
        </w:rPr>
      </w:pPr>
      <w:r w:rsidRPr="0079792A">
        <w:rPr>
          <w:rFonts w:hint="eastAsia"/>
          <w:b/>
          <w:sz w:val="36"/>
          <w:szCs w:val="36"/>
          <w:u w:val="single"/>
        </w:rPr>
        <w:lastRenderedPageBreak/>
        <w:t>要精検率</w:t>
      </w:r>
    </w:p>
    <w:p w:rsidR="0079792A" w:rsidRDefault="0079792A">
      <w:pPr>
        <w:rPr>
          <w:szCs w:val="21"/>
        </w:rPr>
      </w:pPr>
    </w:p>
    <w:p w:rsidR="0079792A" w:rsidRDefault="00A71266">
      <w:pPr>
        <w:rPr>
          <w:szCs w:val="21"/>
        </w:rPr>
      </w:pPr>
      <w:r>
        <w:rPr>
          <w:noProof/>
        </w:rPr>
        <w:drawing>
          <wp:inline distT="0" distB="0" distL="0" distR="0" wp14:anchorId="557E859F" wp14:editId="71D91214">
            <wp:extent cx="1476375" cy="2356706"/>
            <wp:effectExtent l="0" t="0" r="0" b="5715"/>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大腸がん要精検率ランキング!$L$2:$M$14" spid="_x0000_s5766"/>
                        </a:ext>
                      </a:extLst>
                    </pic:cNvPicPr>
                  </pic:nvPicPr>
                  <pic:blipFill>
                    <a:blip r:embed="rId10"/>
                    <a:srcRect/>
                    <a:stretch>
                      <a:fillRect/>
                    </a:stretch>
                  </pic:blipFill>
                  <pic:spPr bwMode="auto">
                    <a:xfrm>
                      <a:off x="0" y="0"/>
                      <a:ext cx="1480534" cy="2363345"/>
                    </a:xfrm>
                    <a:prstGeom prst="rect">
                      <a:avLst/>
                    </a:prstGeom>
                    <a:noFill/>
                    <a:extLst/>
                  </pic:spPr>
                </pic:pic>
              </a:graphicData>
            </a:graphic>
          </wp:inline>
        </w:drawing>
      </w:r>
      <w:r w:rsidR="0079792A">
        <w:rPr>
          <w:rFonts w:hint="eastAsia"/>
          <w:szCs w:val="21"/>
        </w:rPr>
        <w:t xml:space="preserve">　　</w:t>
      </w:r>
      <w:r>
        <w:rPr>
          <w:noProof/>
        </w:rPr>
        <w:drawing>
          <wp:inline distT="0" distB="0" distL="0" distR="0" wp14:anchorId="6CBFF80B" wp14:editId="3D1C6778">
            <wp:extent cx="4829175" cy="2676525"/>
            <wp:effectExtent l="0" t="0" r="0" b="9525"/>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大腸がん要精検率ランキング!$O$2:$W$18" spid="_x0000_s5767"/>
                        </a:ext>
                      </a:extLst>
                    </pic:cNvPicPr>
                  </pic:nvPicPr>
                  <pic:blipFill>
                    <a:blip r:embed="rId11"/>
                    <a:srcRect/>
                    <a:stretch>
                      <a:fillRect/>
                    </a:stretch>
                  </pic:blipFill>
                  <pic:spPr bwMode="auto">
                    <a:xfrm>
                      <a:off x="0" y="0"/>
                      <a:ext cx="4839757" cy="2682390"/>
                    </a:xfrm>
                    <a:prstGeom prst="rect">
                      <a:avLst/>
                    </a:prstGeom>
                    <a:noFill/>
                    <a:extLst/>
                  </pic:spPr>
                </pic:pic>
              </a:graphicData>
            </a:graphic>
          </wp:inline>
        </w:drawing>
      </w:r>
    </w:p>
    <w:p w:rsidR="0079792A" w:rsidRDefault="0079792A">
      <w:pPr>
        <w:rPr>
          <w:szCs w:val="21"/>
        </w:rPr>
      </w:pPr>
    </w:p>
    <w:p w:rsidR="0079792A" w:rsidRDefault="0079792A">
      <w:pPr>
        <w:rPr>
          <w:szCs w:val="21"/>
        </w:rPr>
      </w:pPr>
    </w:p>
    <w:p w:rsidR="0079792A" w:rsidRDefault="0079792A">
      <w:pPr>
        <w:rPr>
          <w:szCs w:val="21"/>
        </w:rPr>
      </w:pPr>
    </w:p>
    <w:tbl>
      <w:tblPr>
        <w:tblpPr w:leftFromText="142" w:rightFromText="142" w:vertAnchor="page" w:horzAnchor="margin" w:tblpY="733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79792A" w:rsidRPr="0079792A" w:rsidTr="0079792A">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79792A" w:rsidRPr="0079792A" w:rsidTr="0079792A">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rsidR="0079792A" w:rsidRPr="0079792A" w:rsidRDefault="0079792A" w:rsidP="0079792A">
      <w:pPr>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79792A" w:rsidRPr="0079792A" w:rsidRDefault="0079792A" w:rsidP="0079792A">
      <w:pPr>
        <w:rPr>
          <w:rFonts w:ascii="Century" w:eastAsia="ＭＳ 明朝" w:hAnsi="Century" w:cs="Times New Roman"/>
          <w:b/>
          <w:sz w:val="36"/>
          <w:szCs w:val="36"/>
          <w:u w:val="single"/>
        </w:rPr>
      </w:pPr>
    </w:p>
    <w:p w:rsidR="0079792A" w:rsidRP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rFonts w:hint="eastAsia"/>
          <w:szCs w:val="21"/>
        </w:rPr>
      </w:pPr>
    </w:p>
    <w:p w:rsidR="00393C5A" w:rsidRDefault="00393C5A">
      <w:pPr>
        <w:rPr>
          <w:szCs w:val="21"/>
        </w:rPr>
      </w:pPr>
      <w:bookmarkStart w:id="0" w:name="_GoBack"/>
      <w:bookmarkEnd w:id="0"/>
    </w:p>
    <w:p w:rsidR="0079792A" w:rsidRDefault="0079792A">
      <w:pPr>
        <w:rPr>
          <w:szCs w:val="21"/>
        </w:rPr>
      </w:pPr>
    </w:p>
    <w:p w:rsidR="0079792A" w:rsidRDefault="0079792A">
      <w:pPr>
        <w:rPr>
          <w:szCs w:val="21"/>
        </w:rPr>
      </w:pPr>
    </w:p>
    <w:p w:rsidR="0079792A" w:rsidRDefault="0079792A">
      <w:pPr>
        <w:rPr>
          <w:szCs w:val="21"/>
        </w:rPr>
      </w:pPr>
      <w:r w:rsidRPr="0079792A">
        <w:rPr>
          <w:rFonts w:hint="eastAsia"/>
          <w:b/>
          <w:sz w:val="36"/>
          <w:szCs w:val="36"/>
          <w:u w:val="single"/>
        </w:rPr>
        <w:lastRenderedPageBreak/>
        <w:t>精検受診率</w:t>
      </w:r>
    </w:p>
    <w:p w:rsidR="0079792A" w:rsidRDefault="0079792A">
      <w:pPr>
        <w:rPr>
          <w:szCs w:val="21"/>
        </w:rPr>
      </w:pPr>
    </w:p>
    <w:p w:rsidR="0079792A" w:rsidRPr="0079792A" w:rsidRDefault="00393C5A">
      <w:pPr>
        <w:rPr>
          <w:szCs w:val="21"/>
        </w:rPr>
      </w:pPr>
      <w:r>
        <w:rPr>
          <w:noProof/>
        </w:rPr>
        <w:drawing>
          <wp:inline distT="0" distB="0" distL="0" distR="0" wp14:anchorId="1232FBB3" wp14:editId="48EED007">
            <wp:extent cx="1314450" cy="2466975"/>
            <wp:effectExtent l="0" t="0" r="0" b="9525"/>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大腸がん精検受診率ランキング!$L$2:$M$14" spid="_x0000_s5768"/>
                        </a:ext>
                      </a:extLst>
                    </pic:cNvPicPr>
                  </pic:nvPicPr>
                  <pic:blipFill>
                    <a:blip r:embed="rId12"/>
                    <a:srcRect/>
                    <a:stretch>
                      <a:fillRect/>
                    </a:stretch>
                  </pic:blipFill>
                  <pic:spPr bwMode="auto">
                    <a:xfrm>
                      <a:off x="0" y="0"/>
                      <a:ext cx="1314774" cy="2467583"/>
                    </a:xfrm>
                    <a:prstGeom prst="rect">
                      <a:avLst/>
                    </a:prstGeom>
                    <a:noFill/>
                    <a:extLst/>
                  </pic:spPr>
                </pic:pic>
              </a:graphicData>
            </a:graphic>
          </wp:inline>
        </w:drawing>
      </w:r>
      <w:r w:rsidR="0079792A">
        <w:rPr>
          <w:rFonts w:hint="eastAsia"/>
          <w:szCs w:val="21"/>
        </w:rPr>
        <w:t xml:space="preserve">　　</w:t>
      </w:r>
      <w:r>
        <w:rPr>
          <w:noProof/>
        </w:rPr>
        <w:drawing>
          <wp:inline distT="0" distB="0" distL="0" distR="0" wp14:anchorId="7A09A301" wp14:editId="6E361844">
            <wp:extent cx="5010150" cy="2752725"/>
            <wp:effectExtent l="0" t="0" r="0" b="9525"/>
            <wp:docPr id="1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大腸がん精検受診率ランキング!$O$2:$W$18" spid="_x0000_s5769"/>
                        </a:ext>
                      </a:extLst>
                    </pic:cNvPicPr>
                  </pic:nvPicPr>
                  <pic:blipFill>
                    <a:blip r:embed="rId13"/>
                    <a:srcRect/>
                    <a:stretch>
                      <a:fillRect/>
                    </a:stretch>
                  </pic:blipFill>
                  <pic:spPr bwMode="auto">
                    <a:xfrm>
                      <a:off x="0" y="0"/>
                      <a:ext cx="5014956" cy="2755366"/>
                    </a:xfrm>
                    <a:prstGeom prst="rect">
                      <a:avLst/>
                    </a:prstGeom>
                    <a:noFill/>
                    <a:extLst/>
                  </pic:spPr>
                </pic:pic>
              </a:graphicData>
            </a:graphic>
          </wp:inline>
        </w:drawing>
      </w:r>
    </w:p>
    <w:p w:rsidR="0079792A" w:rsidRDefault="0079792A">
      <w:pPr>
        <w:rPr>
          <w:szCs w:val="21"/>
        </w:rPr>
      </w:pPr>
    </w:p>
    <w:p w:rsidR="0079792A" w:rsidRDefault="0079792A">
      <w:pPr>
        <w:rPr>
          <w:szCs w:val="21"/>
        </w:rPr>
      </w:pPr>
    </w:p>
    <w:p w:rsidR="0079792A" w:rsidRDefault="0079792A">
      <w:pPr>
        <w:rPr>
          <w:szCs w:val="21"/>
        </w:rPr>
      </w:pPr>
    </w:p>
    <w:tbl>
      <w:tblPr>
        <w:tblpPr w:leftFromText="142" w:rightFromText="142" w:vertAnchor="text" w:horzAnchor="margin" w:tblpY="164"/>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79792A" w:rsidRPr="0079792A" w:rsidTr="007D45ED">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79792A" w:rsidRPr="0079792A" w:rsidTr="007D45ED">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rFonts w:hint="eastAsia"/>
          <w:szCs w:val="21"/>
        </w:rPr>
      </w:pPr>
    </w:p>
    <w:p w:rsidR="00393C5A" w:rsidRDefault="00393C5A">
      <w:pPr>
        <w:rPr>
          <w:szCs w:val="21"/>
        </w:rPr>
      </w:pPr>
    </w:p>
    <w:p w:rsidR="002C6A58" w:rsidRDefault="002C6A58">
      <w:pPr>
        <w:rPr>
          <w:szCs w:val="21"/>
        </w:rPr>
      </w:pPr>
    </w:p>
    <w:p w:rsidR="002C6A58" w:rsidRDefault="002C6A58">
      <w:pPr>
        <w:rPr>
          <w:szCs w:val="21"/>
        </w:rPr>
      </w:pPr>
      <w:r w:rsidRPr="002C6A58">
        <w:rPr>
          <w:rFonts w:hint="eastAsia"/>
          <w:b/>
          <w:sz w:val="36"/>
          <w:szCs w:val="36"/>
          <w:u w:val="single"/>
        </w:rPr>
        <w:lastRenderedPageBreak/>
        <w:t>陽性反応適中度</w:t>
      </w:r>
    </w:p>
    <w:p w:rsidR="002C6A58" w:rsidRDefault="002C6A58">
      <w:pPr>
        <w:rPr>
          <w:szCs w:val="21"/>
        </w:rPr>
      </w:pPr>
    </w:p>
    <w:p w:rsidR="002C6A58" w:rsidRDefault="00393C5A">
      <w:pPr>
        <w:rPr>
          <w:szCs w:val="21"/>
        </w:rPr>
      </w:pPr>
      <w:r>
        <w:rPr>
          <w:rFonts w:hint="eastAsia"/>
          <w:noProof/>
          <w:szCs w:val="21"/>
        </w:rPr>
        <w:drawing>
          <wp:inline distT="0" distB="0" distL="0" distR="0">
            <wp:extent cx="1543050" cy="275272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2752725"/>
                    </a:xfrm>
                    <a:prstGeom prst="rect">
                      <a:avLst/>
                    </a:prstGeom>
                    <a:noFill/>
                    <a:ln>
                      <a:noFill/>
                    </a:ln>
                  </pic:spPr>
                </pic:pic>
              </a:graphicData>
            </a:graphic>
          </wp:inline>
        </w:drawing>
      </w:r>
      <w:r w:rsidR="002C6A58">
        <w:rPr>
          <w:rFonts w:hint="eastAsia"/>
          <w:szCs w:val="21"/>
        </w:rPr>
        <w:t xml:space="preserve">　　</w:t>
      </w:r>
      <w:r>
        <w:rPr>
          <w:noProof/>
        </w:rPr>
        <w:drawing>
          <wp:inline distT="0" distB="0" distL="0" distR="0" wp14:anchorId="66BC6855" wp14:editId="7B166E5C">
            <wp:extent cx="4600575" cy="2457450"/>
            <wp:effectExtent l="0" t="0" r="9525"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6A58" w:rsidRDefault="002C6A58">
      <w:pPr>
        <w:rPr>
          <w:szCs w:val="21"/>
        </w:rPr>
      </w:pPr>
    </w:p>
    <w:p w:rsidR="002C6A58" w:rsidRDefault="002C6A58">
      <w:pPr>
        <w:rPr>
          <w:szCs w:val="21"/>
        </w:rPr>
      </w:pPr>
    </w:p>
    <w:p w:rsidR="002C6A58" w:rsidRDefault="002C6A58">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2983D241" wp14:editId="4125DBFC">
                <wp:simplePos x="0" y="0"/>
                <wp:positionH relativeFrom="column">
                  <wp:posOffset>1009650</wp:posOffset>
                </wp:positionH>
                <wp:positionV relativeFrom="paragraph">
                  <wp:posOffset>1905</wp:posOffset>
                </wp:positionV>
                <wp:extent cx="2600325" cy="1085850"/>
                <wp:effectExtent l="0" t="381000" r="28575" b="19050"/>
                <wp:wrapNone/>
                <wp:docPr id="3" name="四角形吹き出し 3"/>
                <wp:cNvGraphicFramePr/>
                <a:graphic xmlns:a="http://schemas.openxmlformats.org/drawingml/2006/main">
                  <a:graphicData uri="http://schemas.microsoft.com/office/word/2010/wordprocessingShape">
                    <wps:wsp>
                      <wps:cNvSpPr/>
                      <wps:spPr>
                        <a:xfrm>
                          <a:off x="0" y="0"/>
                          <a:ext cx="2600325" cy="1085850"/>
                        </a:xfrm>
                        <a:prstGeom prst="wedgeRectCallout">
                          <a:avLst>
                            <a:gd name="adj1" fmla="val -34826"/>
                            <a:gd name="adj2" fmla="val -84088"/>
                          </a:avLst>
                        </a:prstGeom>
                      </wps:spPr>
                      <wps:style>
                        <a:lnRef idx="2">
                          <a:schemeClr val="accent1"/>
                        </a:lnRef>
                        <a:fillRef idx="1">
                          <a:schemeClr val="lt1"/>
                        </a:fillRef>
                        <a:effectRef idx="0">
                          <a:schemeClr val="accent1"/>
                        </a:effectRef>
                        <a:fontRef idx="minor">
                          <a:schemeClr val="dk1"/>
                        </a:fontRef>
                      </wps:style>
                      <wps:txbx>
                        <w:txbxContent>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大阪府の大腸がん検診では、要精検者</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約</w:t>
                            </w:r>
                            <w:r w:rsidRPr="002C6A58">
                              <w:rPr>
                                <w:rFonts w:ascii="Century" w:eastAsia="ＭＳ 明朝" w:hAnsi="Century" w:cs="Times New Roman" w:hint="eastAsia"/>
                                <w:sz w:val="16"/>
                                <w:szCs w:val="16"/>
                              </w:rPr>
                              <w:t>20</w:t>
                            </w:r>
                            <w:r w:rsidRPr="002C6A58">
                              <w:rPr>
                                <w:rFonts w:ascii="Century" w:eastAsia="ＭＳ 明朝" w:hAnsi="Century" w:cs="Times New Roman" w:hint="eastAsia"/>
                                <w:sz w:val="16"/>
                                <w:szCs w:val="16"/>
                              </w:rPr>
                              <w:t>人あたりに</w:t>
                            </w: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人、がんが発見されます。</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要精検者が年間それよりも少ない場合は、がんが</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例も発見されず、</w:t>
                            </w:r>
                            <w:r w:rsidRPr="002C6A58">
                              <w:rPr>
                                <w:rFonts w:ascii="Century" w:eastAsia="ＭＳ 明朝" w:hAnsi="Century" w:cs="Times New Roman" w:hint="eastAsia"/>
                                <w:sz w:val="16"/>
                                <w:szCs w:val="16"/>
                              </w:rPr>
                              <w:t>0.0</w:t>
                            </w:r>
                            <w:r w:rsidRPr="002C6A58">
                              <w:rPr>
                                <w:rFonts w:ascii="Century" w:eastAsia="ＭＳ 明朝" w:hAnsi="Century" w:cs="Times New Roman" w:hint="eastAsia"/>
                                <w:sz w:val="16"/>
                                <w:szCs w:val="16"/>
                              </w:rPr>
                              <w:t>％になることがありえます。</w:t>
                            </w:r>
                          </w:p>
                          <w:p w:rsidR="002C6A58" w:rsidRPr="002C6A58" w:rsidRDefault="002C6A58" w:rsidP="002C6A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79.5pt;margin-top:.15pt;width:204.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" adj="3278,-7363" fillcolor="white [3201]" strokecolor="#4f81bd [3204]" strokeweight="2pt">
                <v:textbox>
                  <w:txbxContent>
                    <w:p w:rsidR="002C6A58" w:rsidRPr="002C6A58" w:rsidRDefault="002C6A58" w:rsidP="002C6A58">
                      <w:pPr>
                        <w:rPr>
                          <w:rFonts w:ascii="Century" w:eastAsia="ＭＳ 明朝" w:hAnsi="Century" w:cs="Times New Roman" w:hint="eastAsia"/>
                          <w:sz w:val="16"/>
                          <w:szCs w:val="16"/>
                        </w:rPr>
                      </w:pPr>
                      <w:r w:rsidRPr="002C6A58">
                        <w:rPr>
                          <w:rFonts w:ascii="Century" w:eastAsia="ＭＳ 明朝" w:hAnsi="Century" w:cs="Times New Roman" w:hint="eastAsia"/>
                          <w:sz w:val="16"/>
                          <w:szCs w:val="16"/>
                        </w:rPr>
                        <w:t>大阪府の大腸がん検診では、要精検者</w:t>
                      </w:r>
                    </w:p>
                    <w:p w:rsidR="002C6A58" w:rsidRPr="002C6A58" w:rsidRDefault="002C6A58" w:rsidP="002C6A58">
                      <w:pPr>
                        <w:rPr>
                          <w:rFonts w:ascii="Century" w:eastAsia="ＭＳ 明朝" w:hAnsi="Century" w:cs="Times New Roman" w:hint="eastAsia"/>
                          <w:sz w:val="16"/>
                          <w:szCs w:val="16"/>
                        </w:rPr>
                      </w:pPr>
                      <w:r w:rsidRPr="002C6A58">
                        <w:rPr>
                          <w:rFonts w:ascii="Century" w:eastAsia="ＭＳ 明朝" w:hAnsi="Century" w:cs="Times New Roman" w:hint="eastAsia"/>
                          <w:sz w:val="16"/>
                          <w:szCs w:val="16"/>
                        </w:rPr>
                        <w:t>約</w:t>
                      </w:r>
                      <w:r w:rsidRPr="002C6A58">
                        <w:rPr>
                          <w:rFonts w:ascii="Century" w:eastAsia="ＭＳ 明朝" w:hAnsi="Century" w:cs="Times New Roman" w:hint="eastAsia"/>
                          <w:sz w:val="16"/>
                          <w:szCs w:val="16"/>
                        </w:rPr>
                        <w:t>20</w:t>
                      </w:r>
                      <w:r w:rsidRPr="002C6A58">
                        <w:rPr>
                          <w:rFonts w:ascii="Century" w:eastAsia="ＭＳ 明朝" w:hAnsi="Century" w:cs="Times New Roman" w:hint="eastAsia"/>
                          <w:sz w:val="16"/>
                          <w:szCs w:val="16"/>
                        </w:rPr>
                        <w:t>人あたりに</w:t>
                      </w: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人、がんが発見されます。</w:t>
                      </w:r>
                    </w:p>
                    <w:p w:rsidR="002C6A58" w:rsidRPr="002C6A58" w:rsidRDefault="002C6A58" w:rsidP="002C6A58">
                      <w:pPr>
                        <w:rPr>
                          <w:rFonts w:ascii="Century" w:eastAsia="ＭＳ 明朝" w:hAnsi="Century" w:cs="Times New Roman" w:hint="eastAsia"/>
                          <w:sz w:val="16"/>
                          <w:szCs w:val="16"/>
                        </w:rPr>
                      </w:pPr>
                      <w:r w:rsidRPr="002C6A58">
                        <w:rPr>
                          <w:rFonts w:ascii="Century" w:eastAsia="ＭＳ 明朝" w:hAnsi="Century" w:cs="Times New Roman" w:hint="eastAsia"/>
                          <w:sz w:val="16"/>
                          <w:szCs w:val="16"/>
                        </w:rPr>
                        <w:t>要精検者が年間それよりも少ない場合は、がんが</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例も発見されず、</w:t>
                      </w:r>
                      <w:r w:rsidRPr="002C6A58">
                        <w:rPr>
                          <w:rFonts w:ascii="Century" w:eastAsia="ＭＳ 明朝" w:hAnsi="Century" w:cs="Times New Roman" w:hint="eastAsia"/>
                          <w:sz w:val="16"/>
                          <w:szCs w:val="16"/>
                        </w:rPr>
                        <w:t>0.0</w:t>
                      </w:r>
                      <w:r w:rsidRPr="002C6A58">
                        <w:rPr>
                          <w:rFonts w:ascii="Century" w:eastAsia="ＭＳ 明朝" w:hAnsi="Century" w:cs="Times New Roman" w:hint="eastAsia"/>
                          <w:sz w:val="16"/>
                          <w:szCs w:val="16"/>
                        </w:rPr>
                        <w:t>％になることがありえます。</w:t>
                      </w:r>
                    </w:p>
                    <w:p w:rsidR="002C6A58" w:rsidRPr="002C6A58" w:rsidRDefault="002C6A58" w:rsidP="002C6A58">
                      <w:pPr>
                        <w:jc w:val="center"/>
                      </w:pPr>
                    </w:p>
                  </w:txbxContent>
                </v:textbox>
              </v:shape>
            </w:pict>
          </mc:Fallback>
        </mc:AlternateContent>
      </w:r>
    </w:p>
    <w:p w:rsidR="002C6A58" w:rsidRDefault="002C6A58">
      <w:pPr>
        <w:rPr>
          <w:szCs w:val="21"/>
        </w:rPr>
      </w:pPr>
    </w:p>
    <w:p w:rsidR="002C6A58" w:rsidRDefault="002C6A58">
      <w:pPr>
        <w:rPr>
          <w:szCs w:val="21"/>
        </w:rPr>
      </w:pPr>
    </w:p>
    <w:p w:rsidR="002C6A58" w:rsidRPr="002C6A58" w:rsidRDefault="002C6A58">
      <w:pPr>
        <w:rPr>
          <w:szCs w:val="21"/>
        </w:rPr>
      </w:pPr>
    </w:p>
    <w:p w:rsidR="0079792A" w:rsidRDefault="0079792A">
      <w:pPr>
        <w:rPr>
          <w:szCs w:val="21"/>
        </w:rPr>
      </w:pPr>
    </w:p>
    <w:p w:rsidR="0079792A" w:rsidRDefault="0079792A">
      <w:pPr>
        <w:rPr>
          <w:szCs w:val="21"/>
        </w:rPr>
      </w:pPr>
    </w:p>
    <w:tbl>
      <w:tblPr>
        <w:tblpPr w:leftFromText="142" w:rightFromText="142" w:vertAnchor="page" w:horzAnchor="margin" w:tblpY="970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C6A58" w:rsidRPr="002C6A58" w:rsidTr="00393C5A">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393C5A">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393C5A">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393C5A">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2C6A58" w:rsidRPr="002C6A58" w:rsidTr="00393C5A">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C6A58" w:rsidRPr="002C6A58" w:rsidRDefault="002C6A58" w:rsidP="002C6A58">
      <w:pPr>
        <w:rPr>
          <w:rFonts w:ascii="Century" w:eastAsia="ＭＳ 明朝" w:hAnsi="Century" w:cs="Times New Roman"/>
          <w:sz w:val="18"/>
          <w:szCs w:val="18"/>
        </w:rPr>
      </w:pPr>
      <w:r w:rsidRPr="002C6A58">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79792A" w:rsidRDefault="0079792A">
      <w:pPr>
        <w:rPr>
          <w:szCs w:val="21"/>
        </w:rPr>
      </w:pPr>
      <w:r w:rsidRPr="0079792A">
        <w:rPr>
          <w:rFonts w:hint="eastAsia"/>
          <w:b/>
          <w:sz w:val="36"/>
          <w:szCs w:val="36"/>
          <w:u w:val="single"/>
        </w:rPr>
        <w:lastRenderedPageBreak/>
        <w:t>がん発見率</w:t>
      </w:r>
    </w:p>
    <w:p w:rsidR="0079792A" w:rsidRDefault="0079792A">
      <w:pPr>
        <w:rPr>
          <w:szCs w:val="21"/>
        </w:rPr>
      </w:pPr>
    </w:p>
    <w:p w:rsidR="0079792A" w:rsidRDefault="00393C5A">
      <w:pPr>
        <w:rPr>
          <w:szCs w:val="21"/>
        </w:rPr>
      </w:pPr>
      <w:r>
        <w:rPr>
          <w:noProof/>
        </w:rPr>
        <w:drawing>
          <wp:inline distT="0" distB="0" distL="0" distR="0" wp14:anchorId="6FD2BB84" wp14:editId="0270B297">
            <wp:extent cx="1304925" cy="2457450"/>
            <wp:effectExtent l="0" t="0" r="9525"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大腸がん発見率ランキング!$L$2:$M$15" spid="_x0000_s5770"/>
                        </a:ext>
                      </a:extLst>
                    </pic:cNvPicPr>
                  </pic:nvPicPr>
                  <pic:blipFill>
                    <a:blip r:embed="rId16"/>
                    <a:srcRect/>
                    <a:stretch>
                      <a:fillRect/>
                    </a:stretch>
                  </pic:blipFill>
                  <pic:spPr bwMode="auto">
                    <a:xfrm>
                      <a:off x="0" y="0"/>
                      <a:ext cx="1305246" cy="2458055"/>
                    </a:xfrm>
                    <a:prstGeom prst="rect">
                      <a:avLst/>
                    </a:prstGeom>
                    <a:noFill/>
                    <a:extLst/>
                  </pic:spPr>
                </pic:pic>
              </a:graphicData>
            </a:graphic>
          </wp:inline>
        </w:drawing>
      </w:r>
      <w:r w:rsidR="0079792A">
        <w:rPr>
          <w:rFonts w:hint="eastAsia"/>
          <w:szCs w:val="21"/>
        </w:rPr>
        <w:t xml:space="preserve">　　</w:t>
      </w:r>
      <w:r>
        <w:rPr>
          <w:noProof/>
        </w:rPr>
        <w:drawing>
          <wp:inline distT="0" distB="0" distL="0" distR="0" wp14:anchorId="5021078D" wp14:editId="05C31100">
            <wp:extent cx="4893006" cy="2695575"/>
            <wp:effectExtent l="0" t="0" r="0" b="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大腸がん発見率ランキング!$P$2:$X$18" spid="_x0000_s5771"/>
                        </a:ext>
                      </a:extLst>
                    </pic:cNvPicPr>
                  </pic:nvPicPr>
                  <pic:blipFill>
                    <a:blip r:embed="rId17"/>
                    <a:srcRect/>
                    <a:stretch>
                      <a:fillRect/>
                    </a:stretch>
                  </pic:blipFill>
                  <pic:spPr bwMode="auto">
                    <a:xfrm>
                      <a:off x="0" y="0"/>
                      <a:ext cx="4897700" cy="2698161"/>
                    </a:xfrm>
                    <a:prstGeom prst="rect">
                      <a:avLst/>
                    </a:prstGeom>
                    <a:noFill/>
                    <a:extLst/>
                  </pic:spPr>
                </pic:pic>
              </a:graphicData>
            </a:graphic>
          </wp:inline>
        </w:drawing>
      </w:r>
    </w:p>
    <w:p w:rsidR="0079792A" w:rsidRDefault="0079792A">
      <w:pPr>
        <w:rPr>
          <w:szCs w:val="21"/>
        </w:rPr>
      </w:pPr>
    </w:p>
    <w:p w:rsidR="0079792A" w:rsidRDefault="0079792A">
      <w:pPr>
        <w:rPr>
          <w:szCs w:val="21"/>
        </w:rPr>
      </w:pPr>
    </w:p>
    <w:p w:rsidR="0079792A" w:rsidRDefault="002C6A58">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6838F41B" wp14:editId="6BF9993B">
                <wp:simplePos x="0" y="0"/>
                <wp:positionH relativeFrom="column">
                  <wp:posOffset>1181100</wp:posOffset>
                </wp:positionH>
                <wp:positionV relativeFrom="paragraph">
                  <wp:posOffset>114300</wp:posOffset>
                </wp:positionV>
                <wp:extent cx="2305050" cy="1123950"/>
                <wp:effectExtent l="0" t="381000" r="19050" b="19050"/>
                <wp:wrapNone/>
                <wp:docPr id="5" name="四角形吹き出し 5"/>
                <wp:cNvGraphicFramePr/>
                <a:graphic xmlns:a="http://schemas.openxmlformats.org/drawingml/2006/main">
                  <a:graphicData uri="http://schemas.microsoft.com/office/word/2010/wordprocessingShape">
                    <wps:wsp>
                      <wps:cNvSpPr/>
                      <wps:spPr>
                        <a:xfrm>
                          <a:off x="0" y="0"/>
                          <a:ext cx="2305050" cy="1123950"/>
                        </a:xfrm>
                        <a:prstGeom prst="wedgeRectCallout">
                          <a:avLst>
                            <a:gd name="adj1" fmla="val -42191"/>
                            <a:gd name="adj2" fmla="val -83469"/>
                          </a:avLst>
                        </a:prstGeom>
                      </wps:spPr>
                      <wps:style>
                        <a:lnRef idx="2">
                          <a:schemeClr val="accent1"/>
                        </a:lnRef>
                        <a:fillRef idx="1">
                          <a:schemeClr val="lt1"/>
                        </a:fillRef>
                        <a:effectRef idx="0">
                          <a:schemeClr val="accent1"/>
                        </a:effectRef>
                        <a:fontRef idx="minor">
                          <a:schemeClr val="dk1"/>
                        </a:fontRef>
                      </wps:style>
                      <wps:txbx>
                        <w:txbxContent>
                          <w:p w:rsidR="00DB2B44" w:rsidRDefault="00DB2B44" w:rsidP="00DB2B44">
                            <w:pPr>
                              <w:jc w:val="center"/>
                            </w:pPr>
                            <w:r>
                              <w:rPr>
                                <w:rFonts w:hint="eastAsia"/>
                                <w:sz w:val="16"/>
                                <w:szCs w:val="16"/>
                              </w:rPr>
                              <w:t>大阪府の大腸がん検診では、受診者約</w:t>
                            </w:r>
                            <w:r>
                              <w:rPr>
                                <w:rFonts w:hint="eastAsia"/>
                                <w:sz w:val="16"/>
                                <w:szCs w:val="16"/>
                              </w:rPr>
                              <w:t>300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93pt;margin-top:9pt;width:181.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" adj="1687,-7229" fillcolor="white [3201]" strokecolor="#4f81bd [3204]" strokeweight="2pt">
                <v:textbox>
                  <w:txbxContent>
                    <w:p w:rsidR="00DB2B44" w:rsidRDefault="00DB2B44" w:rsidP="00DB2B44">
                      <w:pPr>
                        <w:jc w:val="center"/>
                      </w:pPr>
                      <w:r>
                        <w:rPr>
                          <w:rFonts w:hint="eastAsia"/>
                          <w:sz w:val="16"/>
                          <w:szCs w:val="16"/>
                        </w:rPr>
                        <w:t>大阪府の大腸がん検診では、受診者約</w:t>
                      </w:r>
                      <w:r>
                        <w:rPr>
                          <w:rFonts w:hint="eastAsia"/>
                          <w:sz w:val="16"/>
                          <w:szCs w:val="16"/>
                        </w:rPr>
                        <w:t>300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p>
                  </w:txbxContent>
                </v:textbox>
              </v:shape>
            </w:pict>
          </mc:Fallback>
        </mc:AlternateContent>
      </w: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tbl>
      <w:tblPr>
        <w:tblpPr w:leftFromText="142" w:rightFromText="142" w:vertAnchor="text" w:horzAnchor="margin" w:tblpY="7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DB2B44" w:rsidRPr="00DB2B44" w:rsidTr="007D45E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DB2B44" w:rsidRPr="00DB2B44" w:rsidTr="007D45E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rsidR="00DB2B44" w:rsidRDefault="00DB2B44">
      <w:pPr>
        <w:rPr>
          <w:szCs w:val="21"/>
        </w:rPr>
      </w:pPr>
    </w:p>
    <w:p w:rsidR="00DB2B44" w:rsidRDefault="00DB2B44">
      <w:pPr>
        <w:rPr>
          <w:szCs w:val="21"/>
        </w:rPr>
      </w:pPr>
    </w:p>
    <w:p w:rsidR="00DB2B44" w:rsidRPr="00DB2B44" w:rsidRDefault="00DB2B44" w:rsidP="00DB2B44">
      <w:pPr>
        <w:rPr>
          <w:rFonts w:ascii="Century" w:eastAsia="ＭＳ 明朝" w:hAnsi="Century" w:cs="Times New Roman"/>
          <w:sz w:val="18"/>
          <w:szCs w:val="18"/>
        </w:rPr>
      </w:pPr>
      <w:r w:rsidRPr="00DB2B44">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DB2B44" w:rsidRDefault="00DB2B44" w:rsidP="00DB2B44">
      <w:pPr>
        <w:rPr>
          <w:rFonts w:ascii="Century" w:eastAsia="ＭＳ 明朝" w:hAnsi="Century" w:cs="Times New Roman"/>
          <w:b/>
          <w:sz w:val="18"/>
          <w:szCs w:val="18"/>
          <w:u w:val="single"/>
        </w:rPr>
      </w:pPr>
    </w:p>
    <w:p w:rsidR="006B6AEF" w:rsidRPr="00DB2B44" w:rsidRDefault="006B6AEF" w:rsidP="00DB2B44">
      <w:pPr>
        <w:rPr>
          <w:rFonts w:ascii="Century" w:eastAsia="ＭＳ 明朝" w:hAnsi="Century" w:cs="Times New Roman"/>
          <w:b/>
          <w:sz w:val="18"/>
          <w:szCs w:val="18"/>
          <w:u w:val="single"/>
        </w:rPr>
      </w:pP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【大阪府平均】大阪府におけるがん検診（平成</w:t>
      </w:r>
      <w:r w:rsidRPr="00DB2B44">
        <w:rPr>
          <w:rFonts w:ascii="Century" w:eastAsia="ＭＳ 明朝" w:hAnsi="Century" w:cs="Times New Roman" w:hint="eastAsia"/>
          <w:b/>
          <w:sz w:val="18"/>
          <w:szCs w:val="18"/>
        </w:rPr>
        <w:t>2</w:t>
      </w:r>
      <w:r w:rsidR="00393C5A">
        <w:rPr>
          <w:rFonts w:ascii="Century" w:eastAsia="ＭＳ 明朝" w:hAnsi="Century" w:cs="Times New Roman" w:hint="eastAsia"/>
          <w:b/>
          <w:sz w:val="18"/>
          <w:szCs w:val="18"/>
        </w:rPr>
        <w:t>6</w:t>
      </w:r>
      <w:r w:rsidRPr="00DB2B44">
        <w:rPr>
          <w:rFonts w:ascii="Century" w:eastAsia="ＭＳ 明朝" w:hAnsi="Century" w:cs="Times New Roman" w:hint="eastAsia"/>
          <w:b/>
          <w:sz w:val="18"/>
          <w:szCs w:val="18"/>
        </w:rPr>
        <w:t>年度）</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2A" w:rsidRDefault="0079792A" w:rsidP="0079792A">
      <w:r>
        <w:separator/>
      </w:r>
    </w:p>
  </w:endnote>
  <w:endnote w:type="continuationSeparator" w:id="0">
    <w:p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2A" w:rsidRDefault="0079792A" w:rsidP="0079792A">
      <w:r>
        <w:separator/>
      </w:r>
    </w:p>
  </w:footnote>
  <w:footnote w:type="continuationSeparator" w:id="0">
    <w:p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43"/>
    <w:rsid w:val="00033AA2"/>
    <w:rsid w:val="002C6A58"/>
    <w:rsid w:val="00393C5A"/>
    <w:rsid w:val="003D3F44"/>
    <w:rsid w:val="00486343"/>
    <w:rsid w:val="006B6AEF"/>
    <w:rsid w:val="00751554"/>
    <w:rsid w:val="0079792A"/>
    <w:rsid w:val="00A71266"/>
    <w:rsid w:val="00DB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2" Type="http://schemas.openxmlformats.org/officeDocument/2006/relationships/oleObject" Target="file:///C:\Users\NoguchiMa\AppData\Local\Temp\Temp1_&#22823;&#38442;&#24220;&#12408;&#12288;&#21336;&#24180;&#24230;&#12521;&#12531;&#12461;&#12531;&#12464;.zip\&#22823;&#38442;&#24220;&#12408;&#12288;&#21336;&#24180;&#24230;&#12521;&#12531;&#12461;&#12531;&#12464;\H26&#22823;&#33144;&#12364;&#12435;&#12464;&#12521;&#125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26</a:t>
            </a:r>
            <a:r>
              <a:rPr lang="ja-JP" altLang="en-US"/>
              <a:t>年度　大腸がん検診陽性反応適中度（</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'[H26大腸がんグラフ.xlsx]府HP用（陽性反応適中度）'!$H$1</c:f>
              <c:strCache>
                <c:ptCount val="1"/>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'[H26大腸がんグラフ.xlsx]府HP用（陽性反応適中度）'!$G$2:$G$44</c:f>
              <c:strCache>
                <c:ptCount val="43"/>
                <c:pt idx="0">
                  <c:v>泉佐野市</c:v>
                </c:pt>
                <c:pt idx="1">
                  <c:v>田尻町</c:v>
                </c:pt>
                <c:pt idx="2">
                  <c:v>太子町</c:v>
                </c:pt>
                <c:pt idx="3">
                  <c:v>忠岡町</c:v>
                </c:pt>
                <c:pt idx="4">
                  <c:v>貝塚市</c:v>
                </c:pt>
                <c:pt idx="5">
                  <c:v>八尾市</c:v>
                </c:pt>
                <c:pt idx="6">
                  <c:v>岬町</c:v>
                </c:pt>
                <c:pt idx="7">
                  <c:v>門真市</c:v>
                </c:pt>
                <c:pt idx="8">
                  <c:v>高石市</c:v>
                </c:pt>
                <c:pt idx="9">
                  <c:v>岸和田市</c:v>
                </c:pt>
                <c:pt idx="10">
                  <c:v>守口市</c:v>
                </c:pt>
                <c:pt idx="11">
                  <c:v>大阪狭山市</c:v>
                </c:pt>
                <c:pt idx="12">
                  <c:v>羽曳野市</c:v>
                </c:pt>
                <c:pt idx="13">
                  <c:v>富田林市</c:v>
                </c:pt>
                <c:pt idx="14">
                  <c:v>豊中市</c:v>
                </c:pt>
                <c:pt idx="15">
                  <c:v>寝屋川市</c:v>
                </c:pt>
                <c:pt idx="16">
                  <c:v>大東市</c:v>
                </c:pt>
                <c:pt idx="17">
                  <c:v>大阪市</c:v>
                </c:pt>
                <c:pt idx="18">
                  <c:v>東大阪市</c:v>
                </c:pt>
                <c:pt idx="19">
                  <c:v>河南町</c:v>
                </c:pt>
                <c:pt idx="20">
                  <c:v>枚方市</c:v>
                </c:pt>
                <c:pt idx="21">
                  <c:v>四條畷市</c:v>
                </c:pt>
                <c:pt idx="22">
                  <c:v>吹田市</c:v>
                </c:pt>
                <c:pt idx="23">
                  <c:v>泉大津市</c:v>
                </c:pt>
                <c:pt idx="24">
                  <c:v>和泉市</c:v>
                </c:pt>
                <c:pt idx="25">
                  <c:v>摂津市</c:v>
                </c:pt>
                <c:pt idx="26">
                  <c:v>松原市</c:v>
                </c:pt>
                <c:pt idx="27">
                  <c:v>泉南市</c:v>
                </c:pt>
                <c:pt idx="28">
                  <c:v>河内長野市</c:v>
                </c:pt>
                <c:pt idx="29">
                  <c:v>柏原市</c:v>
                </c:pt>
                <c:pt idx="30">
                  <c:v>高槻市</c:v>
                </c:pt>
                <c:pt idx="31">
                  <c:v>茨木市</c:v>
                </c:pt>
                <c:pt idx="32">
                  <c:v>能勢町</c:v>
                </c:pt>
                <c:pt idx="33">
                  <c:v>阪南市</c:v>
                </c:pt>
                <c:pt idx="34">
                  <c:v>熊取町</c:v>
                </c:pt>
                <c:pt idx="35">
                  <c:v>池田市</c:v>
                </c:pt>
                <c:pt idx="36">
                  <c:v>箕面市</c:v>
                </c:pt>
                <c:pt idx="37">
                  <c:v>堺市</c:v>
                </c:pt>
                <c:pt idx="38">
                  <c:v>豊能町</c:v>
                </c:pt>
                <c:pt idx="39">
                  <c:v>交野市</c:v>
                </c:pt>
                <c:pt idx="40">
                  <c:v>島本町</c:v>
                </c:pt>
                <c:pt idx="41">
                  <c:v>藤井寺市</c:v>
                </c:pt>
                <c:pt idx="42">
                  <c:v>千早赤阪村</c:v>
                </c:pt>
              </c:strCache>
            </c:strRef>
          </c:cat>
          <c:val>
            <c:numRef>
              <c:f>'[H26大腸がんグラフ.xlsx]府HP用（陽性反応適中度）'!$H$2:$H$44</c:f>
              <c:numCache>
                <c:formatCode>0.0</c:formatCode>
                <c:ptCount val="43"/>
                <c:pt idx="0">
                  <c:v>11.926605504587156</c:v>
                </c:pt>
                <c:pt idx="1">
                  <c:v>9.5238095238095237</c:v>
                </c:pt>
                <c:pt idx="2">
                  <c:v>9.0909090909090917</c:v>
                </c:pt>
                <c:pt idx="3">
                  <c:v>8.3333333333333321</c:v>
                </c:pt>
                <c:pt idx="4">
                  <c:v>8.0536912751677843</c:v>
                </c:pt>
                <c:pt idx="5">
                  <c:v>8.0213903743315509</c:v>
                </c:pt>
                <c:pt idx="6">
                  <c:v>8</c:v>
                </c:pt>
                <c:pt idx="7">
                  <c:v>7.333333333333333</c:v>
                </c:pt>
                <c:pt idx="8">
                  <c:v>7.291666666666667</c:v>
                </c:pt>
                <c:pt idx="9">
                  <c:v>6.639566395663957</c:v>
                </c:pt>
                <c:pt idx="10">
                  <c:v>6.0702875399361016</c:v>
                </c:pt>
                <c:pt idx="11">
                  <c:v>6.0070671378091873</c:v>
                </c:pt>
                <c:pt idx="12">
                  <c:v>5.913978494623656</c:v>
                </c:pt>
                <c:pt idx="13">
                  <c:v>5.8201058201058196</c:v>
                </c:pt>
                <c:pt idx="14">
                  <c:v>5.7430007178750895</c:v>
                </c:pt>
                <c:pt idx="15">
                  <c:v>4.9603174603174605</c:v>
                </c:pt>
                <c:pt idx="16">
                  <c:v>4.9261083743842367</c:v>
                </c:pt>
                <c:pt idx="17">
                  <c:v>4.5986984815618221</c:v>
                </c:pt>
                <c:pt idx="18">
                  <c:v>4.5914922349763669</c:v>
                </c:pt>
                <c:pt idx="19">
                  <c:v>4.5454545454545459</c:v>
                </c:pt>
                <c:pt idx="20">
                  <c:v>4.4512195121951219</c:v>
                </c:pt>
                <c:pt idx="21">
                  <c:v>4.4444444444444446</c:v>
                </c:pt>
                <c:pt idx="22">
                  <c:v>4.380664652567976</c:v>
                </c:pt>
                <c:pt idx="23">
                  <c:v>4.2780748663101598</c:v>
                </c:pt>
                <c:pt idx="24">
                  <c:v>4.2028985507246377</c:v>
                </c:pt>
                <c:pt idx="25">
                  <c:v>4.0229885057471266</c:v>
                </c:pt>
                <c:pt idx="26">
                  <c:v>3.9622641509433962</c:v>
                </c:pt>
                <c:pt idx="27">
                  <c:v>3.9325842696629212</c:v>
                </c:pt>
                <c:pt idx="28">
                  <c:v>3.8528896672504378</c:v>
                </c:pt>
                <c:pt idx="29">
                  <c:v>3.7037037037037033</c:v>
                </c:pt>
                <c:pt idx="30">
                  <c:v>3.6339165545087484</c:v>
                </c:pt>
                <c:pt idx="31">
                  <c:v>3.5346097201767304</c:v>
                </c:pt>
                <c:pt idx="32">
                  <c:v>3.3333333333333335</c:v>
                </c:pt>
                <c:pt idx="33">
                  <c:v>3.3057851239669422</c:v>
                </c:pt>
                <c:pt idx="34">
                  <c:v>2.8169014084507045</c:v>
                </c:pt>
                <c:pt idx="35">
                  <c:v>2.8112449799196786</c:v>
                </c:pt>
                <c:pt idx="36">
                  <c:v>2.6036644165863065</c:v>
                </c:pt>
                <c:pt idx="37">
                  <c:v>2.5305410122164052</c:v>
                </c:pt>
                <c:pt idx="38">
                  <c:v>2.3255813953488373</c:v>
                </c:pt>
                <c:pt idx="39">
                  <c:v>1.7793594306049825</c:v>
                </c:pt>
                <c:pt idx="40">
                  <c:v>1.6666666666666667</c:v>
                </c:pt>
                <c:pt idx="41">
                  <c:v>0</c:v>
                </c:pt>
                <c:pt idx="42">
                  <c:v>0</c:v>
                </c:pt>
              </c:numCache>
            </c:numRef>
          </c:val>
        </c:ser>
        <c:dLbls>
          <c:showLegendKey val="0"/>
          <c:showVal val="0"/>
          <c:showCatName val="0"/>
          <c:showSerName val="0"/>
          <c:showPercent val="0"/>
          <c:showBubbleSize val="0"/>
        </c:dLbls>
        <c:gapWidth val="150"/>
        <c:axId val="94682112"/>
        <c:axId val="98575104"/>
      </c:barChart>
      <c:lineChart>
        <c:grouping val="standard"/>
        <c:varyColors val="0"/>
        <c:ser>
          <c:idx val="1"/>
          <c:order val="1"/>
          <c:tx>
            <c:strRef>
              <c:f>'[H26大腸がんグラフ.xlsx]府HP用（陽性反応適中度）'!$I$1</c:f>
              <c:strCache>
                <c:ptCount val="1"/>
                <c:pt idx="0">
                  <c:v>大阪府平均</c:v>
                </c:pt>
              </c:strCache>
            </c:strRef>
          </c:tx>
          <c:spPr>
            <a:ln w="19050">
              <a:solidFill>
                <a:sysClr val="windowText" lastClr="000000"/>
              </a:solidFill>
            </a:ln>
          </c:spPr>
          <c:marker>
            <c:symbol val="none"/>
          </c:marker>
          <c:cat>
            <c:strRef>
              <c:f>'[H26大腸がんグラフ.xlsx]府HP用（陽性反応適中度）'!$G$2:$G$44</c:f>
              <c:strCache>
                <c:ptCount val="43"/>
                <c:pt idx="0">
                  <c:v>泉佐野市</c:v>
                </c:pt>
                <c:pt idx="1">
                  <c:v>田尻町</c:v>
                </c:pt>
                <c:pt idx="2">
                  <c:v>太子町</c:v>
                </c:pt>
                <c:pt idx="3">
                  <c:v>忠岡町</c:v>
                </c:pt>
                <c:pt idx="4">
                  <c:v>貝塚市</c:v>
                </c:pt>
                <c:pt idx="5">
                  <c:v>八尾市</c:v>
                </c:pt>
                <c:pt idx="6">
                  <c:v>岬町</c:v>
                </c:pt>
                <c:pt idx="7">
                  <c:v>門真市</c:v>
                </c:pt>
                <c:pt idx="8">
                  <c:v>高石市</c:v>
                </c:pt>
                <c:pt idx="9">
                  <c:v>岸和田市</c:v>
                </c:pt>
                <c:pt idx="10">
                  <c:v>守口市</c:v>
                </c:pt>
                <c:pt idx="11">
                  <c:v>大阪狭山市</c:v>
                </c:pt>
                <c:pt idx="12">
                  <c:v>羽曳野市</c:v>
                </c:pt>
                <c:pt idx="13">
                  <c:v>富田林市</c:v>
                </c:pt>
                <c:pt idx="14">
                  <c:v>豊中市</c:v>
                </c:pt>
                <c:pt idx="15">
                  <c:v>寝屋川市</c:v>
                </c:pt>
                <c:pt idx="16">
                  <c:v>大東市</c:v>
                </c:pt>
                <c:pt idx="17">
                  <c:v>大阪市</c:v>
                </c:pt>
                <c:pt idx="18">
                  <c:v>東大阪市</c:v>
                </c:pt>
                <c:pt idx="19">
                  <c:v>河南町</c:v>
                </c:pt>
                <c:pt idx="20">
                  <c:v>枚方市</c:v>
                </c:pt>
                <c:pt idx="21">
                  <c:v>四條畷市</c:v>
                </c:pt>
                <c:pt idx="22">
                  <c:v>吹田市</c:v>
                </c:pt>
                <c:pt idx="23">
                  <c:v>泉大津市</c:v>
                </c:pt>
                <c:pt idx="24">
                  <c:v>和泉市</c:v>
                </c:pt>
                <c:pt idx="25">
                  <c:v>摂津市</c:v>
                </c:pt>
                <c:pt idx="26">
                  <c:v>松原市</c:v>
                </c:pt>
                <c:pt idx="27">
                  <c:v>泉南市</c:v>
                </c:pt>
                <c:pt idx="28">
                  <c:v>河内長野市</c:v>
                </c:pt>
                <c:pt idx="29">
                  <c:v>柏原市</c:v>
                </c:pt>
                <c:pt idx="30">
                  <c:v>高槻市</c:v>
                </c:pt>
                <c:pt idx="31">
                  <c:v>茨木市</c:v>
                </c:pt>
                <c:pt idx="32">
                  <c:v>能勢町</c:v>
                </c:pt>
                <c:pt idx="33">
                  <c:v>阪南市</c:v>
                </c:pt>
                <c:pt idx="34">
                  <c:v>熊取町</c:v>
                </c:pt>
                <c:pt idx="35">
                  <c:v>池田市</c:v>
                </c:pt>
                <c:pt idx="36">
                  <c:v>箕面市</c:v>
                </c:pt>
                <c:pt idx="37">
                  <c:v>堺市</c:v>
                </c:pt>
                <c:pt idx="38">
                  <c:v>豊能町</c:v>
                </c:pt>
                <c:pt idx="39">
                  <c:v>交野市</c:v>
                </c:pt>
                <c:pt idx="40">
                  <c:v>島本町</c:v>
                </c:pt>
                <c:pt idx="41">
                  <c:v>藤井寺市</c:v>
                </c:pt>
                <c:pt idx="42">
                  <c:v>千早赤阪村</c:v>
                </c:pt>
              </c:strCache>
            </c:strRef>
          </c:cat>
          <c:val>
            <c:numRef>
              <c:f>'[H26大腸がんグラフ.xlsx]府HP用（陽性反応適中度）'!$I$2:$I$44</c:f>
              <c:numCache>
                <c:formatCode>0.0</c:formatCode>
                <c:ptCount val="43"/>
                <c:pt idx="0">
                  <c:v>4.4460700642119804</c:v>
                </c:pt>
                <c:pt idx="1">
                  <c:v>4.4460700642119804</c:v>
                </c:pt>
                <c:pt idx="2">
                  <c:v>4.4460700642119804</c:v>
                </c:pt>
                <c:pt idx="3">
                  <c:v>4.4460700642119804</c:v>
                </c:pt>
                <c:pt idx="4">
                  <c:v>4.4460700642119804</c:v>
                </c:pt>
                <c:pt idx="5">
                  <c:v>4.4460700642119804</c:v>
                </c:pt>
                <c:pt idx="6">
                  <c:v>4.4460700642119804</c:v>
                </c:pt>
                <c:pt idx="7">
                  <c:v>4.4460700642119804</c:v>
                </c:pt>
                <c:pt idx="8">
                  <c:v>4.4460700642119804</c:v>
                </c:pt>
                <c:pt idx="9">
                  <c:v>4.4460700642119804</c:v>
                </c:pt>
                <c:pt idx="10">
                  <c:v>4.4460700642119804</c:v>
                </c:pt>
                <c:pt idx="11">
                  <c:v>4.4460700642119804</c:v>
                </c:pt>
                <c:pt idx="12">
                  <c:v>4.4460700642119804</c:v>
                </c:pt>
                <c:pt idx="13">
                  <c:v>4.4460700642119804</c:v>
                </c:pt>
                <c:pt idx="14">
                  <c:v>4.4460700642119804</c:v>
                </c:pt>
                <c:pt idx="15">
                  <c:v>4.4460700642119804</c:v>
                </c:pt>
                <c:pt idx="16">
                  <c:v>4.4460700642119804</c:v>
                </c:pt>
                <c:pt idx="17">
                  <c:v>4.4460700642119804</c:v>
                </c:pt>
                <c:pt idx="18">
                  <c:v>4.4460700642119804</c:v>
                </c:pt>
                <c:pt idx="19">
                  <c:v>4.4460700642119804</c:v>
                </c:pt>
                <c:pt idx="20">
                  <c:v>4.4460700642119804</c:v>
                </c:pt>
                <c:pt idx="21">
                  <c:v>4.4460700642119804</c:v>
                </c:pt>
                <c:pt idx="22">
                  <c:v>4.4460700642119804</c:v>
                </c:pt>
                <c:pt idx="23">
                  <c:v>4.4460700642119804</c:v>
                </c:pt>
                <c:pt idx="24">
                  <c:v>4.4460700642119804</c:v>
                </c:pt>
                <c:pt idx="25">
                  <c:v>4.4460700642119804</c:v>
                </c:pt>
                <c:pt idx="26">
                  <c:v>4.4460700642119804</c:v>
                </c:pt>
                <c:pt idx="27">
                  <c:v>4.4460700642119804</c:v>
                </c:pt>
                <c:pt idx="28">
                  <c:v>4.4460700642119804</c:v>
                </c:pt>
                <c:pt idx="29">
                  <c:v>4.4460700642119804</c:v>
                </c:pt>
                <c:pt idx="30">
                  <c:v>4.4460700642119804</c:v>
                </c:pt>
                <c:pt idx="31">
                  <c:v>4.4460700642119804</c:v>
                </c:pt>
                <c:pt idx="32">
                  <c:v>4.4460700642119804</c:v>
                </c:pt>
                <c:pt idx="33">
                  <c:v>4.4460700642119804</c:v>
                </c:pt>
                <c:pt idx="34">
                  <c:v>4.4460700642119804</c:v>
                </c:pt>
                <c:pt idx="35">
                  <c:v>4.4460700642119804</c:v>
                </c:pt>
                <c:pt idx="36">
                  <c:v>4.4460700642119804</c:v>
                </c:pt>
                <c:pt idx="37">
                  <c:v>4.4460700642119804</c:v>
                </c:pt>
                <c:pt idx="38">
                  <c:v>4.4460700642119804</c:v>
                </c:pt>
                <c:pt idx="39">
                  <c:v>4.4460700642119804</c:v>
                </c:pt>
                <c:pt idx="40">
                  <c:v>4.4460700642119804</c:v>
                </c:pt>
                <c:pt idx="41">
                  <c:v>4.4460700642119804</c:v>
                </c:pt>
                <c:pt idx="42">
                  <c:v>4.4460700642119804</c:v>
                </c:pt>
              </c:numCache>
            </c:numRef>
          </c:val>
          <c:smooth val="0"/>
        </c:ser>
        <c:ser>
          <c:idx val="2"/>
          <c:order val="2"/>
          <c:tx>
            <c:strRef>
              <c:f>'[H26大腸がんグラフ.xlsx]府HP用（陽性反応適中度）'!$J$1</c:f>
              <c:strCache>
                <c:ptCount val="1"/>
                <c:pt idx="0">
                  <c:v>許容値</c:v>
                </c:pt>
              </c:strCache>
            </c:strRef>
          </c:tx>
          <c:spPr>
            <a:ln w="22225" cmpd="thinThick">
              <a:prstDash val="sysDot"/>
              <a:round/>
            </a:ln>
          </c:spPr>
          <c:marker>
            <c:symbol val="none"/>
          </c:marker>
          <c:cat>
            <c:strRef>
              <c:f>'[H26大腸がんグラフ.xlsx]府HP用（陽性反応適中度）'!$G$2:$G$44</c:f>
              <c:strCache>
                <c:ptCount val="43"/>
                <c:pt idx="0">
                  <c:v>泉佐野市</c:v>
                </c:pt>
                <c:pt idx="1">
                  <c:v>田尻町</c:v>
                </c:pt>
                <c:pt idx="2">
                  <c:v>太子町</c:v>
                </c:pt>
                <c:pt idx="3">
                  <c:v>忠岡町</c:v>
                </c:pt>
                <c:pt idx="4">
                  <c:v>貝塚市</c:v>
                </c:pt>
                <c:pt idx="5">
                  <c:v>八尾市</c:v>
                </c:pt>
                <c:pt idx="6">
                  <c:v>岬町</c:v>
                </c:pt>
                <c:pt idx="7">
                  <c:v>門真市</c:v>
                </c:pt>
                <c:pt idx="8">
                  <c:v>高石市</c:v>
                </c:pt>
                <c:pt idx="9">
                  <c:v>岸和田市</c:v>
                </c:pt>
                <c:pt idx="10">
                  <c:v>守口市</c:v>
                </c:pt>
                <c:pt idx="11">
                  <c:v>大阪狭山市</c:v>
                </c:pt>
                <c:pt idx="12">
                  <c:v>羽曳野市</c:v>
                </c:pt>
                <c:pt idx="13">
                  <c:v>富田林市</c:v>
                </c:pt>
                <c:pt idx="14">
                  <c:v>豊中市</c:v>
                </c:pt>
                <c:pt idx="15">
                  <c:v>寝屋川市</c:v>
                </c:pt>
                <c:pt idx="16">
                  <c:v>大東市</c:v>
                </c:pt>
                <c:pt idx="17">
                  <c:v>大阪市</c:v>
                </c:pt>
                <c:pt idx="18">
                  <c:v>東大阪市</c:v>
                </c:pt>
                <c:pt idx="19">
                  <c:v>河南町</c:v>
                </c:pt>
                <c:pt idx="20">
                  <c:v>枚方市</c:v>
                </c:pt>
                <c:pt idx="21">
                  <c:v>四條畷市</c:v>
                </c:pt>
                <c:pt idx="22">
                  <c:v>吹田市</c:v>
                </c:pt>
                <c:pt idx="23">
                  <c:v>泉大津市</c:v>
                </c:pt>
                <c:pt idx="24">
                  <c:v>和泉市</c:v>
                </c:pt>
                <c:pt idx="25">
                  <c:v>摂津市</c:v>
                </c:pt>
                <c:pt idx="26">
                  <c:v>松原市</c:v>
                </c:pt>
                <c:pt idx="27">
                  <c:v>泉南市</c:v>
                </c:pt>
                <c:pt idx="28">
                  <c:v>河内長野市</c:v>
                </c:pt>
                <c:pt idx="29">
                  <c:v>柏原市</c:v>
                </c:pt>
                <c:pt idx="30">
                  <c:v>高槻市</c:v>
                </c:pt>
                <c:pt idx="31">
                  <c:v>茨木市</c:v>
                </c:pt>
                <c:pt idx="32">
                  <c:v>能勢町</c:v>
                </c:pt>
                <c:pt idx="33">
                  <c:v>阪南市</c:v>
                </c:pt>
                <c:pt idx="34">
                  <c:v>熊取町</c:v>
                </c:pt>
                <c:pt idx="35">
                  <c:v>池田市</c:v>
                </c:pt>
                <c:pt idx="36">
                  <c:v>箕面市</c:v>
                </c:pt>
                <c:pt idx="37">
                  <c:v>堺市</c:v>
                </c:pt>
                <c:pt idx="38">
                  <c:v>豊能町</c:v>
                </c:pt>
                <c:pt idx="39">
                  <c:v>交野市</c:v>
                </c:pt>
                <c:pt idx="40">
                  <c:v>島本町</c:v>
                </c:pt>
                <c:pt idx="41">
                  <c:v>藤井寺市</c:v>
                </c:pt>
                <c:pt idx="42">
                  <c:v>千早赤阪村</c:v>
                </c:pt>
              </c:strCache>
            </c:strRef>
          </c:cat>
          <c:val>
            <c:numRef>
              <c:f>'[H26大腸がんグラフ.xlsx]府HP用（陽性反応適中度）'!$J$2:$J$44</c:f>
              <c:numCache>
                <c:formatCode>General</c:formatCode>
                <c:ptCount val="43"/>
                <c:pt idx="0">
                  <c:v>1.9</c:v>
                </c:pt>
                <c:pt idx="1">
                  <c:v>1.9</c:v>
                </c:pt>
                <c:pt idx="2">
                  <c:v>1.9</c:v>
                </c:pt>
                <c:pt idx="3">
                  <c:v>1.9</c:v>
                </c:pt>
                <c:pt idx="4">
                  <c:v>1.9</c:v>
                </c:pt>
                <c:pt idx="5">
                  <c:v>1.9</c:v>
                </c:pt>
                <c:pt idx="6">
                  <c:v>1.9</c:v>
                </c:pt>
                <c:pt idx="7">
                  <c:v>1.9</c:v>
                </c:pt>
                <c:pt idx="8">
                  <c:v>1.9</c:v>
                </c:pt>
                <c:pt idx="9">
                  <c:v>1.9</c:v>
                </c:pt>
                <c:pt idx="10">
                  <c:v>1.9</c:v>
                </c:pt>
                <c:pt idx="11">
                  <c:v>1.9</c:v>
                </c:pt>
                <c:pt idx="12">
                  <c:v>1.9</c:v>
                </c:pt>
                <c:pt idx="13">
                  <c:v>1.9</c:v>
                </c:pt>
                <c:pt idx="14">
                  <c:v>1.9</c:v>
                </c:pt>
                <c:pt idx="15">
                  <c:v>1.9</c:v>
                </c:pt>
                <c:pt idx="16">
                  <c:v>1.9</c:v>
                </c:pt>
                <c:pt idx="17">
                  <c:v>1.9</c:v>
                </c:pt>
                <c:pt idx="18">
                  <c:v>1.9</c:v>
                </c:pt>
                <c:pt idx="19">
                  <c:v>1.9</c:v>
                </c:pt>
                <c:pt idx="20">
                  <c:v>1.9</c:v>
                </c:pt>
                <c:pt idx="21">
                  <c:v>1.9</c:v>
                </c:pt>
                <c:pt idx="22">
                  <c:v>1.9</c:v>
                </c:pt>
                <c:pt idx="23">
                  <c:v>1.9</c:v>
                </c:pt>
                <c:pt idx="24">
                  <c:v>1.9</c:v>
                </c:pt>
                <c:pt idx="25">
                  <c:v>1.9</c:v>
                </c:pt>
                <c:pt idx="26">
                  <c:v>1.9</c:v>
                </c:pt>
                <c:pt idx="27">
                  <c:v>1.9</c:v>
                </c:pt>
                <c:pt idx="28">
                  <c:v>1.9</c:v>
                </c:pt>
                <c:pt idx="29">
                  <c:v>1.9</c:v>
                </c:pt>
                <c:pt idx="30">
                  <c:v>1.9</c:v>
                </c:pt>
                <c:pt idx="31">
                  <c:v>1.9</c:v>
                </c:pt>
                <c:pt idx="32">
                  <c:v>1.9</c:v>
                </c:pt>
                <c:pt idx="33">
                  <c:v>1.9</c:v>
                </c:pt>
                <c:pt idx="34">
                  <c:v>1.9</c:v>
                </c:pt>
                <c:pt idx="35">
                  <c:v>1.9</c:v>
                </c:pt>
                <c:pt idx="36">
                  <c:v>1.9</c:v>
                </c:pt>
                <c:pt idx="37">
                  <c:v>1.9</c:v>
                </c:pt>
                <c:pt idx="38">
                  <c:v>1.9</c:v>
                </c:pt>
                <c:pt idx="39">
                  <c:v>1.9</c:v>
                </c:pt>
                <c:pt idx="40">
                  <c:v>1.9</c:v>
                </c:pt>
                <c:pt idx="41">
                  <c:v>1.9</c:v>
                </c:pt>
                <c:pt idx="42">
                  <c:v>1.9</c:v>
                </c:pt>
              </c:numCache>
            </c:numRef>
          </c:val>
          <c:smooth val="1"/>
        </c:ser>
        <c:dLbls>
          <c:showLegendKey val="0"/>
          <c:showVal val="0"/>
          <c:showCatName val="0"/>
          <c:showSerName val="0"/>
          <c:showPercent val="0"/>
          <c:showBubbleSize val="0"/>
        </c:dLbls>
        <c:marker val="1"/>
        <c:smooth val="0"/>
        <c:axId val="94682112"/>
        <c:axId val="98575104"/>
      </c:lineChart>
      <c:catAx>
        <c:axId val="94682112"/>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98575104"/>
        <c:crosses val="autoZero"/>
        <c:auto val="1"/>
        <c:lblAlgn val="ctr"/>
        <c:lblOffset val="100"/>
        <c:noMultiLvlLbl val="0"/>
      </c:catAx>
      <c:valAx>
        <c:axId val="98575104"/>
        <c:scaling>
          <c:orientation val="minMax"/>
          <c:max val="12"/>
        </c:scaling>
        <c:delete val="0"/>
        <c:axPos val="l"/>
        <c:numFmt formatCode="#,##0.0_ " sourceLinked="0"/>
        <c:majorTickMark val="out"/>
        <c:minorTickMark val="none"/>
        <c:tickLblPos val="nextTo"/>
        <c:crossAx val="94682112"/>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3219-2207-47A3-A619-F91BB9E0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野口</cp:lastModifiedBy>
  <cp:revision>6</cp:revision>
  <dcterms:created xsi:type="dcterms:W3CDTF">2016-05-02T02:08:00Z</dcterms:created>
  <dcterms:modified xsi:type="dcterms:W3CDTF">2017-04-12T07:26:00Z</dcterms:modified>
</cp:coreProperties>
</file>