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E4C" w:rsidRDefault="00247301">
      <w:pPr>
        <w:rPr>
          <w:b/>
          <w:sz w:val="36"/>
          <w:szCs w:val="36"/>
          <w:u w:val="single"/>
        </w:rPr>
      </w:pPr>
      <w:r w:rsidRPr="00247301">
        <w:rPr>
          <w:rFonts w:hint="eastAsia"/>
          <w:b/>
          <w:sz w:val="36"/>
          <w:szCs w:val="36"/>
          <w:u w:val="single"/>
        </w:rPr>
        <w:t>受診率</w:t>
      </w:r>
    </w:p>
    <w:p w:rsidR="00247301" w:rsidRDefault="0029360B">
      <w:pPr>
        <w:rPr>
          <w:b/>
          <w:sz w:val="36"/>
          <w:szCs w:val="36"/>
          <w:u w:val="single"/>
        </w:rPr>
      </w:pPr>
      <w:r>
        <w:rPr>
          <w:noProof/>
        </w:rPr>
        <w:drawing>
          <wp:anchor distT="0" distB="0" distL="114300" distR="114300" simplePos="0" relativeHeight="251661312" behindDoc="0" locked="0" layoutInCell="1" allowOverlap="1" wp14:anchorId="2C1FB235" wp14:editId="57045E63">
            <wp:simplePos x="0" y="0"/>
            <wp:positionH relativeFrom="column">
              <wp:posOffset>1619250</wp:posOffset>
            </wp:positionH>
            <wp:positionV relativeFrom="paragraph">
              <wp:posOffset>323850</wp:posOffset>
            </wp:positionV>
            <wp:extent cx="5377815" cy="2638425"/>
            <wp:effectExtent l="0" t="0" r="0" b="9525"/>
            <wp:wrapSquare wrapText="bothSides"/>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a:extLst>
                        <a:ext uri="{84589F7E-364E-4C9E-8A38-B11213B215E9}">
                          <a14:cameraTool xmlns:a14="http://schemas.microsoft.com/office/drawing/2010/main" cellRange="肺がん検診受診率ランキング!$O$2:$W$18" spid="_x0000_s11325"/>
                        </a:ext>
                      </a:extLst>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7815" cy="2638425"/>
                    </a:xfrm>
                    <a:prstGeom prst="rect">
                      <a:avLst/>
                    </a:prstGeom>
                    <a:noFill/>
                    <a:extLst/>
                  </pic:spPr>
                </pic:pic>
              </a:graphicData>
            </a:graphic>
            <wp14:sizeRelH relativeFrom="page">
              <wp14:pctWidth>0</wp14:pctWidth>
            </wp14:sizeRelH>
            <wp14:sizeRelV relativeFrom="page">
              <wp14:pctHeight>0</wp14:pctHeight>
            </wp14:sizeRelV>
          </wp:anchor>
        </w:drawing>
      </w:r>
    </w:p>
    <w:p w:rsidR="00247301" w:rsidRDefault="00247301">
      <w:pPr>
        <w:rPr>
          <w:szCs w:val="21"/>
        </w:rPr>
      </w:pPr>
    </w:p>
    <w:p w:rsidR="00247301" w:rsidRDefault="0029360B">
      <w:pPr>
        <w:rPr>
          <w:rFonts w:hint="eastAsia"/>
          <w:noProof/>
        </w:rPr>
      </w:pPr>
      <w:r>
        <w:rPr>
          <w:noProof/>
        </w:rPr>
        <w:drawing>
          <wp:inline distT="0" distB="0" distL="0" distR="0" wp14:anchorId="2ED1DA36" wp14:editId="43AD19A4">
            <wp:extent cx="1491410" cy="2266950"/>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a:extLst>
                        <a:ext uri="{84589F7E-364E-4C9E-8A38-B11213B215E9}">
                          <a14:cameraTool xmlns:a14="http://schemas.microsoft.com/office/drawing/2010/main" cellRange="肺がん検診受診率ランキング!$L$2:$M$15" spid="_x0000_s11324"/>
                        </a:ext>
                      </a:extLst>
                    </pic:cNvPicPr>
                  </pic:nvPicPr>
                  <pic:blipFill>
                    <a:blip r:embed="rId9"/>
                    <a:srcRect/>
                    <a:stretch>
                      <a:fillRect/>
                    </a:stretch>
                  </pic:blipFill>
                  <pic:spPr bwMode="auto">
                    <a:xfrm>
                      <a:off x="0" y="0"/>
                      <a:ext cx="1491778" cy="2267509"/>
                    </a:xfrm>
                    <a:prstGeom prst="rect">
                      <a:avLst/>
                    </a:prstGeom>
                    <a:noFill/>
                    <a:extLst/>
                  </pic:spPr>
                </pic:pic>
              </a:graphicData>
            </a:graphic>
          </wp:inline>
        </w:drawing>
      </w:r>
    </w:p>
    <w:p w:rsidR="0029360B" w:rsidRDefault="0029360B">
      <w:pPr>
        <w:rPr>
          <w:rFonts w:hint="eastAsia"/>
          <w:noProof/>
        </w:rPr>
      </w:pPr>
    </w:p>
    <w:p w:rsidR="0029360B" w:rsidRDefault="0029360B">
      <w:pPr>
        <w:rPr>
          <w:rFonts w:hint="eastAsia"/>
          <w:noProof/>
        </w:rPr>
      </w:pPr>
    </w:p>
    <w:tbl>
      <w:tblPr>
        <w:tblpPr w:leftFromText="142" w:rightFromText="142" w:vertAnchor="text" w:horzAnchor="margin" w:tblpXSpec="center" w:tblpY="241"/>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4269"/>
        <w:gridCol w:w="2285"/>
        <w:gridCol w:w="2166"/>
      </w:tblGrid>
      <w:tr w:rsidR="0029360B" w:rsidRPr="00984237" w:rsidTr="0029360B">
        <w:trPr>
          <w:trHeight w:val="165"/>
        </w:trPr>
        <w:tc>
          <w:tcPr>
            <w:tcW w:w="4269" w:type="dxa"/>
            <w:tcBorders>
              <w:top w:val="single" w:sz="8" w:space="0" w:color="4BACC6"/>
              <w:left w:val="single" w:sz="8" w:space="0" w:color="4BACC6"/>
              <w:bottom w:val="single" w:sz="18" w:space="0" w:color="4BACC6"/>
              <w:right w:val="single" w:sz="8" w:space="0" w:color="4BACC6"/>
            </w:tcBorders>
            <w:noWrap/>
            <w:hideMark/>
          </w:tcPr>
          <w:p w:rsidR="0029360B" w:rsidRPr="00984237" w:rsidRDefault="0029360B" w:rsidP="0029360B">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受診率とは</w:t>
            </w:r>
          </w:p>
        </w:tc>
        <w:tc>
          <w:tcPr>
            <w:tcW w:w="2285" w:type="dxa"/>
            <w:tcBorders>
              <w:top w:val="single" w:sz="8" w:space="0" w:color="4BACC6"/>
              <w:left w:val="single" w:sz="8" w:space="0" w:color="4BACC6"/>
              <w:bottom w:val="single" w:sz="18" w:space="0" w:color="4BACC6"/>
              <w:right w:val="single" w:sz="8" w:space="0" w:color="4BACC6"/>
            </w:tcBorders>
            <w:noWrap/>
            <w:hideMark/>
          </w:tcPr>
          <w:p w:rsidR="0029360B" w:rsidRPr="00984237" w:rsidRDefault="0029360B" w:rsidP="0029360B">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高い場合</w:t>
            </w:r>
          </w:p>
        </w:tc>
        <w:tc>
          <w:tcPr>
            <w:tcW w:w="2166" w:type="dxa"/>
            <w:tcBorders>
              <w:top w:val="single" w:sz="8" w:space="0" w:color="4BACC6"/>
              <w:left w:val="single" w:sz="8" w:space="0" w:color="4BACC6"/>
              <w:bottom w:val="single" w:sz="18" w:space="0" w:color="4BACC6"/>
              <w:right w:val="single" w:sz="8" w:space="0" w:color="4BACC6"/>
            </w:tcBorders>
            <w:noWrap/>
            <w:hideMark/>
          </w:tcPr>
          <w:p w:rsidR="0029360B" w:rsidRPr="00984237" w:rsidRDefault="0029360B" w:rsidP="0029360B">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低い場合</w:t>
            </w:r>
          </w:p>
        </w:tc>
      </w:tr>
      <w:tr w:rsidR="0029360B" w:rsidRPr="00984237" w:rsidTr="0029360B">
        <w:trPr>
          <w:trHeight w:val="1024"/>
        </w:trPr>
        <w:tc>
          <w:tcPr>
            <w:tcW w:w="4269" w:type="dxa"/>
            <w:tcBorders>
              <w:top w:val="single" w:sz="8" w:space="0" w:color="4BACC6"/>
              <w:left w:val="single" w:sz="8" w:space="0" w:color="4BACC6"/>
              <w:bottom w:val="single" w:sz="8" w:space="0" w:color="4BACC6"/>
              <w:right w:val="single" w:sz="8" w:space="0" w:color="4BACC6"/>
            </w:tcBorders>
            <w:shd w:val="clear" w:color="auto" w:fill="D2EAF1"/>
            <w:hideMark/>
          </w:tcPr>
          <w:p w:rsidR="0029360B" w:rsidRPr="00984237" w:rsidRDefault="0029360B" w:rsidP="0029360B">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がん検診対象者のうち、実際に受診した人の割合。</w:t>
            </w:r>
          </w:p>
          <w:p w:rsidR="0029360B" w:rsidRPr="00984237" w:rsidRDefault="0029360B" w:rsidP="0029360B">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※市町村が行うがん検診では、40歳以上（</w:t>
            </w:r>
            <w:r>
              <w:rPr>
                <w:rFonts w:ascii="HG丸ｺﾞｼｯｸM-PRO" w:eastAsia="HG丸ｺﾞｼｯｸM-PRO" w:hAnsi="HG丸ｺﾞｼｯｸM-PRO" w:hint="eastAsia"/>
                <w:sz w:val="16"/>
                <w:szCs w:val="16"/>
              </w:rPr>
              <w:t>胃がんは50歳以上、</w:t>
            </w:r>
            <w:r w:rsidRPr="00984237">
              <w:rPr>
                <w:rFonts w:ascii="HG丸ｺﾞｼｯｸM-PRO" w:eastAsia="HG丸ｺﾞｼｯｸM-PRO" w:hAnsi="HG丸ｺﾞｼｯｸM-PRO" w:hint="eastAsia"/>
                <w:sz w:val="16"/>
                <w:szCs w:val="16"/>
              </w:rPr>
              <w:t>子宮頸がんは20歳以上）で、かつ職場で受診する機会がない人が「がん検診対象者」であると定められています。</w:t>
            </w:r>
          </w:p>
        </w:tc>
        <w:tc>
          <w:tcPr>
            <w:tcW w:w="2285" w:type="dxa"/>
            <w:tcBorders>
              <w:top w:val="single" w:sz="8" w:space="0" w:color="4BACC6"/>
              <w:left w:val="single" w:sz="8" w:space="0" w:color="4BACC6"/>
              <w:bottom w:val="single" w:sz="8" w:space="0" w:color="4BACC6"/>
              <w:right w:val="single" w:sz="8" w:space="0" w:color="4BACC6"/>
            </w:tcBorders>
            <w:shd w:val="clear" w:color="auto" w:fill="D2EAF1"/>
            <w:hideMark/>
          </w:tcPr>
          <w:p w:rsidR="0029360B" w:rsidRPr="00984237" w:rsidRDefault="0029360B" w:rsidP="0029360B">
            <w:pPr>
              <w:spacing w:line="240" w:lineRule="atLeas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○高いことが望ましい。</w:t>
            </w:r>
          </w:p>
        </w:tc>
        <w:tc>
          <w:tcPr>
            <w:tcW w:w="2166" w:type="dxa"/>
            <w:tcBorders>
              <w:top w:val="single" w:sz="8" w:space="0" w:color="4BACC6"/>
              <w:left w:val="single" w:sz="8" w:space="0" w:color="4BACC6"/>
              <w:bottom w:val="single" w:sz="8" w:space="0" w:color="4BACC6"/>
              <w:right w:val="single" w:sz="8" w:space="0" w:color="4BACC6"/>
            </w:tcBorders>
            <w:shd w:val="clear" w:color="auto" w:fill="D2EAF1"/>
            <w:hideMark/>
          </w:tcPr>
          <w:p w:rsidR="0029360B" w:rsidRPr="00984237" w:rsidRDefault="0029360B" w:rsidP="0029360B">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 xml:space="preserve">○検診の提供体制や受診勧奨等の充実を図る必要がある。　　　　　　　　　　　　　　　　　　　　　　　　　　　　　　　</w:t>
            </w:r>
          </w:p>
        </w:tc>
      </w:tr>
    </w:tbl>
    <w:p w:rsidR="0029360B" w:rsidRDefault="0029360B">
      <w:pPr>
        <w:rPr>
          <w:rFonts w:hint="eastAsia"/>
          <w:noProof/>
        </w:rPr>
      </w:pPr>
    </w:p>
    <w:p w:rsidR="0029360B" w:rsidRDefault="0029360B">
      <w:pPr>
        <w:rPr>
          <w:rFonts w:hint="eastAsia"/>
          <w:noProof/>
        </w:rPr>
      </w:pPr>
    </w:p>
    <w:p w:rsidR="0029360B" w:rsidRDefault="0029360B">
      <w:pPr>
        <w:rPr>
          <w:rFonts w:hint="eastAsia"/>
          <w:noProof/>
        </w:rPr>
      </w:pPr>
    </w:p>
    <w:p w:rsidR="0029360B" w:rsidRDefault="0029360B">
      <w:pPr>
        <w:rPr>
          <w:rFonts w:hint="eastAsia"/>
          <w:noProof/>
        </w:rPr>
      </w:pPr>
    </w:p>
    <w:p w:rsidR="0029360B" w:rsidRDefault="0029360B">
      <w:pPr>
        <w:rPr>
          <w:rFonts w:hint="eastAsia"/>
          <w:noProof/>
        </w:rPr>
      </w:pPr>
    </w:p>
    <w:p w:rsidR="0029360B" w:rsidRDefault="0029360B">
      <w:pPr>
        <w:rPr>
          <w:rFonts w:hint="eastAsia"/>
          <w:noProof/>
        </w:rPr>
      </w:pPr>
    </w:p>
    <w:p w:rsidR="0029360B" w:rsidRDefault="0029360B">
      <w:pPr>
        <w:rPr>
          <w:rFonts w:hint="eastAsia"/>
          <w:noProof/>
        </w:rPr>
      </w:pPr>
    </w:p>
    <w:p w:rsidR="0029360B" w:rsidRDefault="0029360B">
      <w:pPr>
        <w:rPr>
          <w:szCs w:val="21"/>
        </w:rPr>
      </w:pPr>
      <w:r>
        <w:rPr>
          <w:rFonts w:hint="eastAsia"/>
          <w:szCs w:val="21"/>
        </w:rPr>
        <w:t xml:space="preserve">　</w:t>
      </w:r>
    </w:p>
    <w:p w:rsidR="00247301" w:rsidRDefault="00247301">
      <w:pPr>
        <w:rPr>
          <w:szCs w:val="21"/>
        </w:rPr>
      </w:pPr>
    </w:p>
    <w:p w:rsidR="00247301" w:rsidRDefault="00247301">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rFonts w:hint="eastAsia"/>
          <w:b/>
          <w:sz w:val="20"/>
          <w:szCs w:val="20"/>
          <w:u w:val="single"/>
        </w:rPr>
      </w:pPr>
    </w:p>
    <w:p w:rsidR="000811B2" w:rsidRDefault="000811B2">
      <w:pPr>
        <w:rPr>
          <w:b/>
          <w:sz w:val="20"/>
          <w:szCs w:val="20"/>
          <w:u w:val="single"/>
        </w:rPr>
      </w:pPr>
    </w:p>
    <w:p w:rsidR="00616DCF" w:rsidRDefault="00616DCF">
      <w:pPr>
        <w:rPr>
          <w:szCs w:val="21"/>
        </w:rPr>
      </w:pPr>
      <w:r>
        <w:rPr>
          <w:rFonts w:hint="eastAsia"/>
          <w:b/>
          <w:sz w:val="36"/>
          <w:szCs w:val="36"/>
          <w:u w:val="single"/>
        </w:rPr>
        <w:lastRenderedPageBreak/>
        <w:t>要精検率</w:t>
      </w:r>
    </w:p>
    <w:p w:rsidR="00616DCF" w:rsidRDefault="00616DCF">
      <w:pPr>
        <w:rPr>
          <w:szCs w:val="21"/>
        </w:rPr>
      </w:pPr>
    </w:p>
    <w:p w:rsidR="00616DCF" w:rsidRDefault="000811B2">
      <w:pPr>
        <w:rPr>
          <w:szCs w:val="21"/>
        </w:rPr>
      </w:pPr>
      <w:r>
        <w:rPr>
          <w:noProof/>
        </w:rPr>
        <w:drawing>
          <wp:anchor distT="0" distB="0" distL="114300" distR="114300" simplePos="0" relativeHeight="251662336" behindDoc="0" locked="0" layoutInCell="1" allowOverlap="1" wp14:anchorId="563035EA" wp14:editId="12913B23">
            <wp:simplePos x="0" y="0"/>
            <wp:positionH relativeFrom="column">
              <wp:posOffset>1427480</wp:posOffset>
            </wp:positionH>
            <wp:positionV relativeFrom="paragraph">
              <wp:posOffset>66675</wp:posOffset>
            </wp:positionV>
            <wp:extent cx="5612130" cy="2650490"/>
            <wp:effectExtent l="0" t="0" r="0" b="0"/>
            <wp:wrapSquare wrapText="bothSides"/>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noChangeArrowheads="1"/>
                      <a:extLst>
                        <a:ext uri="{84589F7E-364E-4C9E-8A38-B11213B215E9}">
                          <a14:cameraTool xmlns:a14="http://schemas.microsoft.com/office/drawing/2010/main" cellRange="肺がん要精検率ランキング!$O$2:$W$18" spid="_x0000_s11327"/>
                        </a:ext>
                      </a:extLst>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2650490"/>
                    </a:xfrm>
                    <a:prstGeom prst="rect">
                      <a:avLst/>
                    </a:prstGeom>
                    <a:noFill/>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FC77E88" wp14:editId="334E1960">
            <wp:extent cx="1338228" cy="2676525"/>
            <wp:effectExtent l="0" t="0" r="0" b="0"/>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a:extLst>
                        <a:ext uri="{84589F7E-364E-4C9E-8A38-B11213B215E9}">
                          <a14:cameraTool xmlns:a14="http://schemas.microsoft.com/office/drawing/2010/main" cellRange="肺がん要精検率ランキング!$L$2:$M$19" spid="_x0000_s11326"/>
                        </a:ext>
                      </a:extLst>
                    </pic:cNvPicPr>
                  </pic:nvPicPr>
                  <pic:blipFill>
                    <a:blip r:embed="rId11"/>
                    <a:srcRect/>
                    <a:stretch>
                      <a:fillRect/>
                    </a:stretch>
                  </pic:blipFill>
                  <pic:spPr bwMode="auto">
                    <a:xfrm>
                      <a:off x="0" y="0"/>
                      <a:ext cx="1338616" cy="2677300"/>
                    </a:xfrm>
                    <a:prstGeom prst="rect">
                      <a:avLst/>
                    </a:prstGeom>
                    <a:noFill/>
                    <a:extLst/>
                  </pic:spPr>
                </pic:pic>
              </a:graphicData>
            </a:graphic>
          </wp:inline>
        </w:drawing>
      </w:r>
      <w:r w:rsidR="00616DCF">
        <w:rPr>
          <w:rFonts w:hint="eastAsia"/>
          <w:szCs w:val="21"/>
        </w:rPr>
        <w:t xml:space="preserve">　　</w:t>
      </w:r>
    </w:p>
    <w:p w:rsidR="00616DCF" w:rsidRDefault="00616DCF">
      <w:pPr>
        <w:rPr>
          <w:szCs w:val="21"/>
        </w:rPr>
      </w:pPr>
    </w:p>
    <w:p w:rsidR="00616DCF" w:rsidRDefault="00616DCF">
      <w:pPr>
        <w:rPr>
          <w:szCs w:val="21"/>
        </w:rPr>
      </w:pPr>
    </w:p>
    <w:p w:rsidR="00616DCF" w:rsidRDefault="00616DCF">
      <w:pPr>
        <w:rPr>
          <w:szCs w:val="21"/>
        </w:rPr>
      </w:pPr>
    </w:p>
    <w:tbl>
      <w:tblPr>
        <w:tblpPr w:leftFromText="142" w:rightFromText="142" w:vertAnchor="page" w:horzAnchor="margin" w:tblpY="7261"/>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369"/>
        <w:gridCol w:w="3827"/>
        <w:gridCol w:w="3402"/>
      </w:tblGrid>
      <w:tr w:rsidR="00616DCF" w:rsidRPr="00616DCF" w:rsidTr="00616DCF">
        <w:trPr>
          <w:trHeight w:val="301"/>
        </w:trPr>
        <w:tc>
          <w:tcPr>
            <w:tcW w:w="3369" w:type="dxa"/>
            <w:tcBorders>
              <w:top w:val="single" w:sz="8" w:space="0" w:color="4BACC6"/>
              <w:left w:val="single" w:sz="8" w:space="0" w:color="4BACC6"/>
              <w:bottom w:val="single" w:sz="18" w:space="0" w:color="4BACC6"/>
              <w:right w:val="single" w:sz="8" w:space="0" w:color="4BACC6"/>
            </w:tcBorders>
            <w:shd w:val="clear" w:color="auto" w:fill="auto"/>
          </w:tcPr>
          <w:p w:rsidR="00616DCF" w:rsidRPr="00616DCF" w:rsidRDefault="00616DCF" w:rsidP="00616DCF">
            <w:pPr>
              <w:spacing w:line="240" w:lineRule="atLeast"/>
              <w:ind w:firstLineChars="100" w:firstLine="161"/>
              <w:jc w:val="left"/>
              <w:rPr>
                <w:rFonts w:ascii="HG丸ｺﾞｼｯｸM-PRO" w:eastAsia="HG丸ｺﾞｼｯｸM-PRO" w:hAnsi="HG丸ｺﾞｼｯｸM-PRO"/>
                <w:b/>
                <w:bCs/>
                <w:sz w:val="16"/>
                <w:szCs w:val="16"/>
              </w:rPr>
            </w:pPr>
            <w:r w:rsidRPr="00616DCF">
              <w:rPr>
                <w:rFonts w:ascii="HG丸ｺﾞｼｯｸM-PRO" w:eastAsia="HG丸ｺﾞｼｯｸM-PRO" w:hAnsi="HG丸ｺﾞｼｯｸM-PRO" w:hint="eastAsia"/>
                <w:b/>
                <w:bCs/>
                <w:sz w:val="16"/>
                <w:szCs w:val="16"/>
              </w:rPr>
              <w:t>要精検率とは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616DCF" w:rsidRPr="00616DCF" w:rsidRDefault="00616DCF" w:rsidP="00616DCF">
            <w:pPr>
              <w:spacing w:line="240" w:lineRule="atLeast"/>
              <w:ind w:firstLineChars="100" w:firstLine="161"/>
              <w:jc w:val="left"/>
              <w:rPr>
                <w:rFonts w:ascii="HG丸ｺﾞｼｯｸM-PRO" w:eastAsia="HG丸ｺﾞｼｯｸM-PRO" w:hAnsi="HG丸ｺﾞｼｯｸM-PRO"/>
                <w:b/>
                <w:bCs/>
                <w:sz w:val="16"/>
                <w:szCs w:val="16"/>
              </w:rPr>
            </w:pPr>
            <w:r w:rsidRPr="00616DCF">
              <w:rPr>
                <w:rFonts w:ascii="HG丸ｺﾞｼｯｸM-PRO" w:eastAsia="HG丸ｺﾞｼｯｸM-PRO" w:hAnsi="HG丸ｺﾞｼｯｸM-PRO" w:hint="eastAsia"/>
                <w:b/>
                <w:bCs/>
                <w:sz w:val="16"/>
                <w:szCs w:val="16"/>
              </w:rPr>
              <w:t>高すぎる場合</w:t>
            </w:r>
          </w:p>
        </w:tc>
        <w:tc>
          <w:tcPr>
            <w:tcW w:w="3402" w:type="dxa"/>
            <w:tcBorders>
              <w:top w:val="single" w:sz="8" w:space="0" w:color="4BACC6"/>
              <w:left w:val="single" w:sz="8" w:space="0" w:color="4BACC6"/>
              <w:bottom w:val="single" w:sz="18" w:space="0" w:color="4BACC6"/>
              <w:right w:val="single" w:sz="8" w:space="0" w:color="4BACC6"/>
            </w:tcBorders>
            <w:shd w:val="clear" w:color="auto" w:fill="auto"/>
          </w:tcPr>
          <w:p w:rsidR="00616DCF" w:rsidRPr="00616DCF" w:rsidRDefault="00616DCF" w:rsidP="00616DCF">
            <w:pPr>
              <w:spacing w:line="240" w:lineRule="atLeast"/>
              <w:ind w:firstLineChars="100" w:firstLine="161"/>
              <w:jc w:val="left"/>
              <w:rPr>
                <w:rFonts w:ascii="HG丸ｺﾞｼｯｸM-PRO" w:eastAsia="HG丸ｺﾞｼｯｸM-PRO" w:hAnsi="HG丸ｺﾞｼｯｸM-PRO"/>
                <w:b/>
                <w:bCs/>
                <w:sz w:val="16"/>
                <w:szCs w:val="16"/>
              </w:rPr>
            </w:pPr>
            <w:r w:rsidRPr="00616DCF">
              <w:rPr>
                <w:rFonts w:ascii="HG丸ｺﾞｼｯｸM-PRO" w:eastAsia="HG丸ｺﾞｼｯｸM-PRO" w:hAnsi="HG丸ｺﾞｼｯｸM-PRO" w:hint="eastAsia"/>
                <w:b/>
                <w:bCs/>
                <w:sz w:val="16"/>
                <w:szCs w:val="16"/>
              </w:rPr>
              <w:t>低すぎる場合</w:t>
            </w:r>
          </w:p>
        </w:tc>
      </w:tr>
      <w:tr w:rsidR="00616DCF" w:rsidRPr="00616DCF" w:rsidTr="00616DCF">
        <w:trPr>
          <w:trHeight w:val="1431"/>
        </w:trPr>
        <w:tc>
          <w:tcPr>
            <w:tcW w:w="3369" w:type="dxa"/>
            <w:tcBorders>
              <w:top w:val="single" w:sz="8" w:space="0" w:color="4BACC6"/>
              <w:left w:val="single" w:sz="8" w:space="0" w:color="4BACC6"/>
              <w:bottom w:val="single" w:sz="8" w:space="0" w:color="4BACC6"/>
              <w:right w:val="single" w:sz="8" w:space="0" w:color="4BACC6"/>
            </w:tcBorders>
            <w:shd w:val="clear" w:color="auto" w:fill="D2EAF1"/>
            <w:hideMark/>
          </w:tcPr>
          <w:p w:rsidR="00616DCF" w:rsidRPr="00616DCF" w:rsidRDefault="00616DCF" w:rsidP="00616DCF">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がん検診を受診した人のうち、精密検査が必要とされた人の割合。</w:t>
            </w:r>
          </w:p>
          <w:p w:rsidR="00616DCF" w:rsidRPr="00616DCF" w:rsidRDefault="00616DCF" w:rsidP="00616DCF">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がん検診受診者の中から、精密検査が必要な人を適切に絞り込めたかどうかを表す指標。高すぎても低すぎても望ましくない。</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616DCF" w:rsidRPr="00616DCF" w:rsidRDefault="00616DCF" w:rsidP="00616DCF">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○受診者のうち、何か症状があったにも関わらず受診した人（注）や高齢者の割合が高かった可能性がある。　　　　　　　　　　　　　　　　　　　　○がんでないのに、がんかもしれないと判定される人が多い可能性がある。</w:t>
            </w:r>
          </w:p>
        </w:tc>
        <w:tc>
          <w:tcPr>
            <w:tcW w:w="3402" w:type="dxa"/>
            <w:tcBorders>
              <w:top w:val="single" w:sz="8" w:space="0" w:color="4BACC6"/>
              <w:left w:val="single" w:sz="8" w:space="0" w:color="4BACC6"/>
              <w:bottom w:val="single" w:sz="8" w:space="0" w:color="4BACC6"/>
              <w:right w:val="single" w:sz="8" w:space="0" w:color="4BACC6"/>
            </w:tcBorders>
            <w:shd w:val="clear" w:color="auto" w:fill="D2EAF1"/>
            <w:hideMark/>
          </w:tcPr>
          <w:p w:rsidR="00616DCF" w:rsidRPr="00616DCF" w:rsidRDefault="00616DCF" w:rsidP="00616DCF">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○受診者のうち、高齢者などがんにかかりやすい性・年齢の割合が低かった可能性がある。</w:t>
            </w:r>
          </w:p>
          <w:p w:rsidR="00616DCF" w:rsidRPr="00616DCF" w:rsidRDefault="00616DCF" w:rsidP="00616DCF">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○初回受診者が少ない可能性がある。</w:t>
            </w:r>
          </w:p>
          <w:p w:rsidR="00616DCF" w:rsidRPr="00616DCF" w:rsidRDefault="00616DCF" w:rsidP="00616DCF">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○極端に低い場合は、検診機関ががんを適切に発見できていない可能性がある。</w:t>
            </w:r>
          </w:p>
        </w:tc>
      </w:tr>
    </w:tbl>
    <w:p w:rsidR="00616DCF" w:rsidRPr="00616DCF" w:rsidRDefault="00616DCF" w:rsidP="00616DCF">
      <w:pPr>
        <w:rPr>
          <w:sz w:val="18"/>
          <w:szCs w:val="18"/>
        </w:rPr>
      </w:pPr>
      <w:r w:rsidRPr="00616DCF">
        <w:rPr>
          <w:rFonts w:hint="eastAsia"/>
          <w:sz w:val="18"/>
          <w:szCs w:val="18"/>
        </w:rPr>
        <w:t>（注）がん検診は、症状のない方のための検査です。明らかな症状のある方には、それぞれの体の状態に応じた適切な検査や</w:t>
      </w:r>
    </w:p>
    <w:p w:rsidR="00616DCF" w:rsidRPr="00616DCF" w:rsidRDefault="00616DCF" w:rsidP="00616DCF">
      <w:pPr>
        <w:rPr>
          <w:b/>
          <w:sz w:val="36"/>
          <w:szCs w:val="36"/>
          <w:u w:val="single"/>
        </w:rPr>
      </w:pPr>
      <w:r w:rsidRPr="00616DCF">
        <w:rPr>
          <w:rFonts w:hint="eastAsia"/>
          <w:sz w:val="18"/>
          <w:szCs w:val="18"/>
        </w:rPr>
        <w:t>治療が必要になります。症状のある場合は、必ず医療機関を受診してください。</w:t>
      </w:r>
    </w:p>
    <w:p w:rsidR="00616DCF" w:rsidRPr="00616DCF" w:rsidRDefault="00616DCF" w:rsidP="00616DCF">
      <w:pPr>
        <w:rPr>
          <w:b/>
          <w:sz w:val="36"/>
          <w:szCs w:val="36"/>
          <w:u w:val="single"/>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r>
        <w:rPr>
          <w:rFonts w:hint="eastAsia"/>
          <w:b/>
          <w:sz w:val="36"/>
          <w:szCs w:val="36"/>
          <w:u w:val="single"/>
        </w:rPr>
        <w:lastRenderedPageBreak/>
        <w:t>精検受診率</w:t>
      </w:r>
    </w:p>
    <w:p w:rsidR="00627375" w:rsidRDefault="00627375">
      <w:pPr>
        <w:rPr>
          <w:szCs w:val="21"/>
        </w:rPr>
      </w:pPr>
    </w:p>
    <w:p w:rsidR="00627375" w:rsidRDefault="000811B2">
      <w:pPr>
        <w:rPr>
          <w:szCs w:val="21"/>
        </w:rPr>
      </w:pPr>
      <w:r>
        <w:rPr>
          <w:noProof/>
        </w:rPr>
        <w:drawing>
          <wp:anchor distT="0" distB="0" distL="114300" distR="114300" simplePos="0" relativeHeight="251664384" behindDoc="0" locked="0" layoutInCell="1" allowOverlap="1" wp14:anchorId="757F783F" wp14:editId="36350365">
            <wp:simplePos x="0" y="0"/>
            <wp:positionH relativeFrom="column">
              <wp:posOffset>1656715</wp:posOffset>
            </wp:positionH>
            <wp:positionV relativeFrom="paragraph">
              <wp:posOffset>180975</wp:posOffset>
            </wp:positionV>
            <wp:extent cx="5444490" cy="2571115"/>
            <wp:effectExtent l="0" t="0" r="0" b="635"/>
            <wp:wrapSquare wrapText="bothSides"/>
            <wp:docPr id="1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noChangeArrowheads="1"/>
                      <a:extLst>
                        <a:ext uri="{84589F7E-364E-4C9E-8A38-B11213B215E9}">
                          <a14:cameraTool xmlns:a14="http://schemas.microsoft.com/office/drawing/2010/main" cellRange="肺がん精検受診率ランキング!$O$2:$W$18" spid="_x0000_s11329"/>
                        </a:ext>
                      </a:extLst>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44490" cy="2571115"/>
                    </a:xfrm>
                    <a:prstGeom prst="rect">
                      <a:avLst/>
                    </a:prstGeom>
                    <a:noFill/>
                    <a:extLst/>
                  </pic:spPr>
                </pic:pic>
              </a:graphicData>
            </a:graphic>
            <wp14:sizeRelH relativeFrom="page">
              <wp14:pctWidth>0</wp14:pctWidth>
            </wp14:sizeRelH>
            <wp14:sizeRelV relativeFrom="page">
              <wp14:pctHeight>0</wp14:pctHeight>
            </wp14:sizeRelV>
          </wp:anchor>
        </w:drawing>
      </w:r>
      <w:r w:rsidR="00627375">
        <w:rPr>
          <w:rFonts w:hint="eastAsia"/>
          <w:szCs w:val="21"/>
        </w:rPr>
        <w:t xml:space="preserve">　　</w:t>
      </w:r>
    </w:p>
    <w:p w:rsidR="00627375" w:rsidRDefault="000811B2">
      <w:pPr>
        <w:rPr>
          <w:szCs w:val="21"/>
        </w:rPr>
      </w:pPr>
      <w:r>
        <w:rPr>
          <w:noProof/>
        </w:rPr>
        <w:drawing>
          <wp:anchor distT="0" distB="0" distL="114300" distR="114300" simplePos="0" relativeHeight="251663360" behindDoc="0" locked="0" layoutInCell="1" allowOverlap="1" wp14:anchorId="173E67DD" wp14:editId="50234E4B">
            <wp:simplePos x="0" y="0"/>
            <wp:positionH relativeFrom="column">
              <wp:posOffset>-57150</wp:posOffset>
            </wp:positionH>
            <wp:positionV relativeFrom="paragraph">
              <wp:posOffset>390525</wp:posOffset>
            </wp:positionV>
            <wp:extent cx="1552575" cy="2076450"/>
            <wp:effectExtent l="0" t="0" r="9525" b="0"/>
            <wp:wrapSquare wrapText="bothSides"/>
            <wp:docPr id="1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noChangeArrowheads="1"/>
                      <a:extLst>
                        <a:ext uri="{84589F7E-364E-4C9E-8A38-B11213B215E9}">
                          <a14:cameraTool xmlns:a14="http://schemas.microsoft.com/office/drawing/2010/main" cellRange="肺がん精検受診率ランキング!$L$2:$M$13" spid="_x0000_s11328"/>
                        </a:ext>
                      </a:extLst>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2575" cy="2076450"/>
                    </a:xfrm>
                    <a:prstGeom prst="rect">
                      <a:avLst/>
                    </a:prstGeom>
                    <a:noFill/>
                    <a:extLst/>
                  </pic:spPr>
                </pic:pic>
              </a:graphicData>
            </a:graphic>
            <wp14:sizeRelH relativeFrom="page">
              <wp14:pctWidth>0</wp14:pctWidth>
            </wp14:sizeRelH>
            <wp14:sizeRelV relativeFrom="page">
              <wp14:pctHeight>0</wp14:pctHeight>
            </wp14:sizeRelV>
          </wp:anchor>
        </w:drawing>
      </w:r>
    </w:p>
    <w:p w:rsidR="00627375" w:rsidRDefault="00627375">
      <w:pPr>
        <w:rPr>
          <w:szCs w:val="21"/>
        </w:rPr>
      </w:pPr>
    </w:p>
    <w:tbl>
      <w:tblPr>
        <w:tblpPr w:leftFromText="142" w:rightFromText="142" w:vertAnchor="text" w:horzAnchor="margin" w:tblpY="587"/>
        <w:tblW w:w="107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10"/>
        <w:gridCol w:w="3119"/>
        <w:gridCol w:w="4111"/>
      </w:tblGrid>
      <w:tr w:rsidR="00627375" w:rsidTr="00627375">
        <w:trPr>
          <w:trHeight w:val="385"/>
        </w:trPr>
        <w:tc>
          <w:tcPr>
            <w:tcW w:w="3510" w:type="dxa"/>
            <w:tcBorders>
              <w:top w:val="single" w:sz="8" w:space="0" w:color="4BACC6"/>
              <w:left w:val="single" w:sz="8" w:space="0" w:color="4BACC6"/>
              <w:bottom w:val="single" w:sz="18" w:space="0" w:color="4BACC6"/>
              <w:right w:val="single" w:sz="8" w:space="0" w:color="4BACC6"/>
            </w:tcBorders>
            <w:hideMark/>
          </w:tcPr>
          <w:p w:rsidR="00627375" w:rsidRDefault="00627375" w:rsidP="00627375">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精検受診率とは</w:t>
            </w:r>
          </w:p>
        </w:tc>
        <w:tc>
          <w:tcPr>
            <w:tcW w:w="3119" w:type="dxa"/>
            <w:tcBorders>
              <w:top w:val="single" w:sz="8" w:space="0" w:color="4BACC6"/>
              <w:left w:val="single" w:sz="8" w:space="0" w:color="4BACC6"/>
              <w:bottom w:val="single" w:sz="18" w:space="0" w:color="4BACC6"/>
              <w:right w:val="single" w:sz="8" w:space="0" w:color="4BACC6"/>
            </w:tcBorders>
            <w:hideMark/>
          </w:tcPr>
          <w:p w:rsidR="00627375" w:rsidRDefault="00627375" w:rsidP="00627375">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hideMark/>
          </w:tcPr>
          <w:p w:rsidR="00627375" w:rsidRDefault="00627375" w:rsidP="00627375">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低い場合</w:t>
            </w:r>
          </w:p>
        </w:tc>
      </w:tr>
      <w:tr w:rsidR="00627375" w:rsidTr="00627375">
        <w:trPr>
          <w:trHeight w:val="1541"/>
        </w:trPr>
        <w:tc>
          <w:tcPr>
            <w:tcW w:w="3510" w:type="dxa"/>
            <w:tcBorders>
              <w:top w:val="single" w:sz="8" w:space="0" w:color="4BACC6"/>
              <w:left w:val="single" w:sz="8" w:space="0" w:color="4BACC6"/>
              <w:bottom w:val="single" w:sz="8" w:space="0" w:color="4BACC6"/>
              <w:right w:val="single" w:sz="8" w:space="0" w:color="4BACC6"/>
            </w:tcBorders>
            <w:shd w:val="clear" w:color="auto" w:fill="D2EAF1"/>
            <w:hideMark/>
          </w:tcPr>
          <w:p w:rsidR="00627375" w:rsidRDefault="00627375" w:rsidP="00627375">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要精検者（精密検査が必要だと判定された人）のうち、実際に精密検査を受けた人の割合。</w:t>
            </w:r>
          </w:p>
          <w:p w:rsidR="00627375" w:rsidRDefault="00627375" w:rsidP="00627375">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検診の結果通知や精密検査の受診勧奨など、検診での検査以外の部分の精度を示す指標。</w:t>
            </w:r>
          </w:p>
        </w:tc>
        <w:tc>
          <w:tcPr>
            <w:tcW w:w="3119" w:type="dxa"/>
            <w:tcBorders>
              <w:top w:val="single" w:sz="8" w:space="0" w:color="4BACC6"/>
              <w:left w:val="single" w:sz="8" w:space="0" w:color="4BACC6"/>
              <w:bottom w:val="single" w:sz="8" w:space="0" w:color="4BACC6"/>
              <w:right w:val="single" w:sz="8" w:space="0" w:color="4BACC6"/>
            </w:tcBorders>
            <w:shd w:val="clear" w:color="auto" w:fill="D2EAF1"/>
            <w:hideMark/>
          </w:tcPr>
          <w:p w:rsidR="00627375" w:rsidRDefault="00627375" w:rsidP="00627375">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○高いことが望ましい。</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627375" w:rsidRDefault="00627375" w:rsidP="00627375">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○市町村における精密検査結果の把握方法について検討する必要がある。　　　　　　　　　　　　　　　　　　　　　　　　　　○たとえ検診で異常が指摘されていたとしても精密検査を受けて診断されなければ、診断し治療できるはずのがんを見過ごす可能性もある。</w:t>
            </w:r>
          </w:p>
        </w:tc>
      </w:tr>
    </w:tbl>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2E7F29" w:rsidRDefault="002E7F29">
      <w:pPr>
        <w:rPr>
          <w:rFonts w:hint="eastAsia"/>
          <w:szCs w:val="21"/>
        </w:rPr>
      </w:pPr>
    </w:p>
    <w:p w:rsidR="000811B2" w:rsidRDefault="000811B2">
      <w:pPr>
        <w:rPr>
          <w:rFonts w:hint="eastAsia"/>
          <w:szCs w:val="21"/>
        </w:rPr>
      </w:pPr>
    </w:p>
    <w:p w:rsidR="000811B2" w:rsidRDefault="000811B2">
      <w:pPr>
        <w:rPr>
          <w:szCs w:val="21"/>
        </w:rPr>
      </w:pPr>
    </w:p>
    <w:p w:rsidR="002E7F29" w:rsidRDefault="002E7F29">
      <w:pPr>
        <w:rPr>
          <w:szCs w:val="21"/>
        </w:rPr>
      </w:pPr>
      <w:r w:rsidRPr="002E7F29">
        <w:rPr>
          <w:rFonts w:hint="eastAsia"/>
          <w:b/>
          <w:sz w:val="36"/>
          <w:szCs w:val="36"/>
          <w:u w:val="single"/>
        </w:rPr>
        <w:lastRenderedPageBreak/>
        <w:t>陽性反応適中率</w:t>
      </w:r>
    </w:p>
    <w:p w:rsidR="002E7F29" w:rsidRDefault="000811B2">
      <w:pPr>
        <w:rPr>
          <w:szCs w:val="21"/>
        </w:rPr>
      </w:pPr>
      <w:r>
        <w:rPr>
          <w:noProof/>
        </w:rPr>
        <w:drawing>
          <wp:anchor distT="0" distB="0" distL="114300" distR="114300" simplePos="0" relativeHeight="251666432" behindDoc="0" locked="0" layoutInCell="1" allowOverlap="1" wp14:anchorId="10945415" wp14:editId="256A73CF">
            <wp:simplePos x="0" y="0"/>
            <wp:positionH relativeFrom="column">
              <wp:posOffset>1666875</wp:posOffset>
            </wp:positionH>
            <wp:positionV relativeFrom="paragraph">
              <wp:posOffset>380365</wp:posOffset>
            </wp:positionV>
            <wp:extent cx="5229225" cy="2609850"/>
            <wp:effectExtent l="0" t="0" r="9525" b="19050"/>
            <wp:wrapSquare wrapText="bothSides"/>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2E7F29" w:rsidRPr="002E7F29" w:rsidRDefault="000811B2">
      <w:pPr>
        <w:rPr>
          <w:szCs w:val="21"/>
        </w:rPr>
      </w:pPr>
      <w:r w:rsidRPr="000811B2">
        <w:rPr>
          <w:rFonts w:hint="eastAsia"/>
        </w:rPr>
        <w:drawing>
          <wp:anchor distT="0" distB="0" distL="114300" distR="114300" simplePos="0" relativeHeight="251665408" behindDoc="0" locked="0" layoutInCell="1" allowOverlap="1" wp14:anchorId="59AC2D1C" wp14:editId="3D4B65FC">
            <wp:simplePos x="0" y="0"/>
            <wp:positionH relativeFrom="column">
              <wp:posOffset>0</wp:posOffset>
            </wp:positionH>
            <wp:positionV relativeFrom="paragraph">
              <wp:posOffset>180975</wp:posOffset>
            </wp:positionV>
            <wp:extent cx="1543050" cy="2581275"/>
            <wp:effectExtent l="0" t="0" r="0" b="9525"/>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3050" cy="2581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7F29" w:rsidRDefault="002E7F29">
      <w:pPr>
        <w:rPr>
          <w:szCs w:val="21"/>
        </w:rPr>
      </w:pPr>
    </w:p>
    <w:p w:rsidR="002E7F29" w:rsidRDefault="000811B2">
      <w:pPr>
        <w:rPr>
          <w:szCs w:val="21"/>
        </w:rPr>
      </w:pPr>
      <w:r>
        <w:rPr>
          <w:noProof/>
          <w:szCs w:val="21"/>
        </w:rPr>
        <mc:AlternateContent>
          <mc:Choice Requires="wps">
            <w:drawing>
              <wp:anchor distT="0" distB="0" distL="114300" distR="114300" simplePos="0" relativeHeight="251660288" behindDoc="0" locked="0" layoutInCell="1" allowOverlap="1" wp14:anchorId="03E5E701" wp14:editId="25DBCD28">
                <wp:simplePos x="0" y="0"/>
                <wp:positionH relativeFrom="column">
                  <wp:posOffset>933450</wp:posOffset>
                </wp:positionH>
                <wp:positionV relativeFrom="paragraph">
                  <wp:posOffset>76835</wp:posOffset>
                </wp:positionV>
                <wp:extent cx="2552700" cy="1076325"/>
                <wp:effectExtent l="0" t="438150" r="19050" b="28575"/>
                <wp:wrapNone/>
                <wp:docPr id="7" name="四角形吹き出し 7"/>
                <wp:cNvGraphicFramePr/>
                <a:graphic xmlns:a="http://schemas.openxmlformats.org/drawingml/2006/main">
                  <a:graphicData uri="http://schemas.microsoft.com/office/word/2010/wordprocessingShape">
                    <wps:wsp>
                      <wps:cNvSpPr/>
                      <wps:spPr>
                        <a:xfrm>
                          <a:off x="0" y="0"/>
                          <a:ext cx="2552700" cy="1076325"/>
                        </a:xfrm>
                        <a:prstGeom prst="wedgeRectCallout">
                          <a:avLst>
                            <a:gd name="adj1" fmla="val -34774"/>
                            <a:gd name="adj2" fmla="val -89067"/>
                          </a:avLst>
                        </a:prstGeom>
                      </wps:spPr>
                      <wps:style>
                        <a:lnRef idx="2">
                          <a:schemeClr val="accent1"/>
                        </a:lnRef>
                        <a:fillRef idx="1">
                          <a:schemeClr val="lt1"/>
                        </a:fillRef>
                        <a:effectRef idx="0">
                          <a:schemeClr val="accent1"/>
                        </a:effectRef>
                        <a:fontRef idx="minor">
                          <a:schemeClr val="dk1"/>
                        </a:fontRef>
                      </wps:style>
                      <wps:txbx>
                        <w:txbxContent>
                          <w:p w:rsidR="002E7F29" w:rsidRPr="002E7F29" w:rsidRDefault="002E7F29" w:rsidP="002E7F29">
                            <w:pPr>
                              <w:rPr>
                                <w:sz w:val="16"/>
                                <w:szCs w:val="16"/>
                              </w:rPr>
                            </w:pPr>
                            <w:r w:rsidRPr="002E7F29">
                              <w:rPr>
                                <w:rFonts w:hint="eastAsia"/>
                                <w:sz w:val="16"/>
                                <w:szCs w:val="16"/>
                              </w:rPr>
                              <w:t>大阪府の肺がん検診では要精検者</w:t>
                            </w:r>
                          </w:p>
                          <w:p w:rsidR="002E7F29" w:rsidRPr="002E7F29" w:rsidRDefault="002E7F29" w:rsidP="002E7F29">
                            <w:pPr>
                              <w:rPr>
                                <w:sz w:val="16"/>
                                <w:szCs w:val="16"/>
                              </w:rPr>
                            </w:pPr>
                            <w:r w:rsidRPr="002E7F29">
                              <w:rPr>
                                <w:rFonts w:hint="eastAsia"/>
                                <w:sz w:val="16"/>
                                <w:szCs w:val="16"/>
                              </w:rPr>
                              <w:t>約</w:t>
                            </w:r>
                            <w:r w:rsidRPr="002E7F29">
                              <w:rPr>
                                <w:rFonts w:hint="eastAsia"/>
                                <w:sz w:val="16"/>
                                <w:szCs w:val="16"/>
                              </w:rPr>
                              <w:t>30</w:t>
                            </w:r>
                            <w:r w:rsidRPr="002E7F29">
                              <w:rPr>
                                <w:rFonts w:hint="eastAsia"/>
                                <w:sz w:val="16"/>
                                <w:szCs w:val="16"/>
                              </w:rPr>
                              <w:t>人あたりに</w:t>
                            </w:r>
                            <w:r w:rsidRPr="002E7F29">
                              <w:rPr>
                                <w:rFonts w:hint="eastAsia"/>
                                <w:sz w:val="16"/>
                                <w:szCs w:val="16"/>
                              </w:rPr>
                              <w:t>1</w:t>
                            </w:r>
                            <w:r w:rsidRPr="002E7F29">
                              <w:rPr>
                                <w:rFonts w:hint="eastAsia"/>
                                <w:sz w:val="16"/>
                                <w:szCs w:val="16"/>
                              </w:rPr>
                              <w:t>人、がんが発見されます。</w:t>
                            </w:r>
                          </w:p>
                          <w:p w:rsidR="002E7F29" w:rsidRPr="002E7F29" w:rsidRDefault="002E7F29" w:rsidP="002E7F29">
                            <w:pPr>
                              <w:rPr>
                                <w:sz w:val="16"/>
                                <w:szCs w:val="16"/>
                              </w:rPr>
                            </w:pPr>
                            <w:r w:rsidRPr="002E7F29">
                              <w:rPr>
                                <w:rFonts w:hint="eastAsia"/>
                                <w:sz w:val="16"/>
                                <w:szCs w:val="16"/>
                              </w:rPr>
                              <w:t>要精検者年間それよりもが少ない場合は、がんが</w:t>
                            </w:r>
                          </w:p>
                          <w:p w:rsidR="002E7F29" w:rsidRDefault="002E7F29" w:rsidP="002E7F29">
                            <w:pPr>
                              <w:jc w:val="center"/>
                            </w:pPr>
                            <w:r w:rsidRPr="002E7F29">
                              <w:rPr>
                                <w:rFonts w:hint="eastAsia"/>
                                <w:sz w:val="16"/>
                                <w:szCs w:val="16"/>
                              </w:rPr>
                              <w:t>1</w:t>
                            </w:r>
                            <w:r w:rsidRPr="002E7F29">
                              <w:rPr>
                                <w:rFonts w:hint="eastAsia"/>
                                <w:sz w:val="16"/>
                                <w:szCs w:val="16"/>
                              </w:rPr>
                              <w:t>例も発見されず、</w:t>
                            </w:r>
                            <w:r w:rsidRPr="002E7F29">
                              <w:rPr>
                                <w:rFonts w:hint="eastAsia"/>
                                <w:sz w:val="16"/>
                                <w:szCs w:val="16"/>
                              </w:rPr>
                              <w:t>0.0</w:t>
                            </w:r>
                            <w:r w:rsidRPr="002E7F29">
                              <w:rPr>
                                <w:rFonts w:hint="eastAsia"/>
                                <w:sz w:val="16"/>
                                <w:szCs w:val="16"/>
                              </w:rPr>
                              <w:t>％になることがあります。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6" type="#_x0000_t61" style="position:absolute;left:0;text-align:left;margin-left:73.5pt;margin-top:6.05pt;width:201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" adj="3289,-8438" fillcolor="white [3201]" strokecolor="#4f81bd [3204]" strokeweight="2pt">
                <v:textbox>
                  <w:txbxContent>
                    <w:p w:rsidR="002E7F29" w:rsidRPr="002E7F29" w:rsidRDefault="002E7F29" w:rsidP="002E7F29">
                      <w:pPr>
                        <w:rPr>
                          <w:sz w:val="16"/>
                          <w:szCs w:val="16"/>
                        </w:rPr>
                      </w:pPr>
                      <w:r w:rsidRPr="002E7F29">
                        <w:rPr>
                          <w:rFonts w:hint="eastAsia"/>
                          <w:sz w:val="16"/>
                          <w:szCs w:val="16"/>
                        </w:rPr>
                        <w:t>大阪府の肺がん検診では要精検者</w:t>
                      </w:r>
                    </w:p>
                    <w:p w:rsidR="002E7F29" w:rsidRPr="002E7F29" w:rsidRDefault="002E7F29" w:rsidP="002E7F29">
                      <w:pPr>
                        <w:rPr>
                          <w:sz w:val="16"/>
                          <w:szCs w:val="16"/>
                        </w:rPr>
                      </w:pPr>
                      <w:r w:rsidRPr="002E7F29">
                        <w:rPr>
                          <w:rFonts w:hint="eastAsia"/>
                          <w:sz w:val="16"/>
                          <w:szCs w:val="16"/>
                        </w:rPr>
                        <w:t>約</w:t>
                      </w:r>
                      <w:r w:rsidRPr="002E7F29">
                        <w:rPr>
                          <w:rFonts w:hint="eastAsia"/>
                          <w:sz w:val="16"/>
                          <w:szCs w:val="16"/>
                        </w:rPr>
                        <w:t>30</w:t>
                      </w:r>
                      <w:r w:rsidRPr="002E7F29">
                        <w:rPr>
                          <w:rFonts w:hint="eastAsia"/>
                          <w:sz w:val="16"/>
                          <w:szCs w:val="16"/>
                        </w:rPr>
                        <w:t>人あたりに</w:t>
                      </w:r>
                      <w:r w:rsidRPr="002E7F29">
                        <w:rPr>
                          <w:rFonts w:hint="eastAsia"/>
                          <w:sz w:val="16"/>
                          <w:szCs w:val="16"/>
                        </w:rPr>
                        <w:t>1</w:t>
                      </w:r>
                      <w:r w:rsidRPr="002E7F29">
                        <w:rPr>
                          <w:rFonts w:hint="eastAsia"/>
                          <w:sz w:val="16"/>
                          <w:szCs w:val="16"/>
                        </w:rPr>
                        <w:t>人、がんが発見されます。</w:t>
                      </w:r>
                    </w:p>
                    <w:p w:rsidR="002E7F29" w:rsidRPr="002E7F29" w:rsidRDefault="002E7F29" w:rsidP="002E7F29">
                      <w:pPr>
                        <w:rPr>
                          <w:sz w:val="16"/>
                          <w:szCs w:val="16"/>
                        </w:rPr>
                      </w:pPr>
                      <w:r w:rsidRPr="002E7F29">
                        <w:rPr>
                          <w:rFonts w:hint="eastAsia"/>
                          <w:sz w:val="16"/>
                          <w:szCs w:val="16"/>
                        </w:rPr>
                        <w:t>要精検者年間それよりもが少ない場合は、がんが</w:t>
                      </w:r>
                    </w:p>
                    <w:p w:rsidR="002E7F29" w:rsidRDefault="002E7F29" w:rsidP="002E7F29">
                      <w:pPr>
                        <w:jc w:val="center"/>
                      </w:pPr>
                      <w:r w:rsidRPr="002E7F29">
                        <w:rPr>
                          <w:rFonts w:hint="eastAsia"/>
                          <w:sz w:val="16"/>
                          <w:szCs w:val="16"/>
                        </w:rPr>
                        <w:t>1</w:t>
                      </w:r>
                      <w:r w:rsidRPr="002E7F29">
                        <w:rPr>
                          <w:rFonts w:hint="eastAsia"/>
                          <w:sz w:val="16"/>
                          <w:szCs w:val="16"/>
                        </w:rPr>
                        <w:t>例も発見されず、</w:t>
                      </w:r>
                      <w:r w:rsidRPr="002E7F29">
                        <w:rPr>
                          <w:rFonts w:hint="eastAsia"/>
                          <w:sz w:val="16"/>
                          <w:szCs w:val="16"/>
                        </w:rPr>
                        <w:t>0.0</w:t>
                      </w:r>
                      <w:r w:rsidRPr="002E7F29">
                        <w:rPr>
                          <w:rFonts w:hint="eastAsia"/>
                          <w:sz w:val="16"/>
                          <w:szCs w:val="16"/>
                        </w:rPr>
                        <w:t>％になることがあります。</w:t>
                      </w:r>
                    </w:p>
                  </w:txbxContent>
                </v:textbox>
              </v:shape>
            </w:pict>
          </mc:Fallback>
        </mc:AlternateContent>
      </w:r>
    </w:p>
    <w:p w:rsidR="002E7F29" w:rsidRDefault="002E7F29" w:rsidP="002E7F29">
      <w:pPr>
        <w:rPr>
          <w:sz w:val="18"/>
          <w:szCs w:val="18"/>
        </w:rPr>
      </w:pPr>
    </w:p>
    <w:p w:rsidR="002E7F29" w:rsidRDefault="002E7F29" w:rsidP="002E7F29">
      <w:pPr>
        <w:rPr>
          <w:sz w:val="18"/>
          <w:szCs w:val="18"/>
        </w:rPr>
      </w:pPr>
    </w:p>
    <w:p w:rsidR="002E7F29" w:rsidRDefault="002E7F29" w:rsidP="002E7F29">
      <w:pPr>
        <w:rPr>
          <w:sz w:val="18"/>
          <w:szCs w:val="18"/>
        </w:rPr>
      </w:pPr>
    </w:p>
    <w:tbl>
      <w:tblPr>
        <w:tblpPr w:leftFromText="142" w:rightFromText="142" w:vertAnchor="page" w:horzAnchor="margin" w:tblpY="10531"/>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802"/>
        <w:gridCol w:w="3827"/>
        <w:gridCol w:w="3969"/>
      </w:tblGrid>
      <w:tr w:rsidR="002E7F29" w:rsidRPr="002E7F29" w:rsidTr="002E7F29">
        <w:trPr>
          <w:trHeight w:val="401"/>
        </w:trPr>
        <w:tc>
          <w:tcPr>
            <w:tcW w:w="2802" w:type="dxa"/>
            <w:tcBorders>
              <w:top w:val="single" w:sz="8" w:space="0" w:color="4BACC6"/>
              <w:left w:val="single" w:sz="8" w:space="0" w:color="4BACC6"/>
              <w:bottom w:val="single" w:sz="18" w:space="0" w:color="4BACC6"/>
              <w:right w:val="single" w:sz="8" w:space="0" w:color="4BACC6"/>
            </w:tcBorders>
            <w:shd w:val="clear" w:color="auto" w:fill="auto"/>
          </w:tcPr>
          <w:p w:rsidR="002E7F29" w:rsidRPr="002E7F29" w:rsidRDefault="002E7F29" w:rsidP="002E7F29">
            <w:pPr>
              <w:spacing w:line="240" w:lineRule="atLeast"/>
              <w:ind w:firstLineChars="100" w:firstLine="161"/>
              <w:jc w:val="left"/>
              <w:rPr>
                <w:rFonts w:ascii="HG丸ｺﾞｼｯｸM-PRO" w:eastAsia="HG丸ｺﾞｼｯｸM-PRO" w:hAnsi="HG丸ｺﾞｼｯｸM-PRO"/>
                <w:b/>
                <w:bCs/>
                <w:sz w:val="16"/>
                <w:szCs w:val="16"/>
              </w:rPr>
            </w:pPr>
            <w:r w:rsidRPr="002E7F29">
              <w:rPr>
                <w:rFonts w:ascii="HG丸ｺﾞｼｯｸM-PRO" w:eastAsia="HG丸ｺﾞｼｯｸM-PRO" w:hAnsi="HG丸ｺﾞｼｯｸM-PRO" w:hint="eastAsia"/>
                <w:b/>
                <w:bCs/>
                <w:sz w:val="16"/>
                <w:szCs w:val="16"/>
              </w:rPr>
              <w:t>陽性反応適中度とは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2E7F29" w:rsidRPr="002E7F29" w:rsidRDefault="002E7F29" w:rsidP="002E7F29">
            <w:pPr>
              <w:spacing w:line="240" w:lineRule="atLeast"/>
              <w:ind w:firstLineChars="100" w:firstLine="161"/>
              <w:jc w:val="left"/>
              <w:rPr>
                <w:rFonts w:ascii="HG丸ｺﾞｼｯｸM-PRO" w:eastAsia="HG丸ｺﾞｼｯｸM-PRO" w:hAnsi="HG丸ｺﾞｼｯｸM-PRO"/>
                <w:b/>
                <w:bCs/>
                <w:sz w:val="16"/>
                <w:szCs w:val="16"/>
              </w:rPr>
            </w:pPr>
            <w:r w:rsidRPr="002E7F29">
              <w:rPr>
                <w:rFonts w:ascii="HG丸ｺﾞｼｯｸM-PRO" w:eastAsia="HG丸ｺﾞｼｯｸM-PRO" w:hAnsi="HG丸ｺﾞｼｯｸM-PRO" w:hint="eastAsia"/>
                <w:b/>
                <w:bCs/>
                <w:sz w:val="16"/>
                <w:szCs w:val="16"/>
              </w:rPr>
              <w:t>高い場合</w:t>
            </w:r>
          </w:p>
        </w:tc>
        <w:tc>
          <w:tcPr>
            <w:tcW w:w="3969" w:type="dxa"/>
            <w:tcBorders>
              <w:top w:val="single" w:sz="8" w:space="0" w:color="4BACC6"/>
              <w:left w:val="single" w:sz="8" w:space="0" w:color="4BACC6"/>
              <w:bottom w:val="single" w:sz="18" w:space="0" w:color="4BACC6"/>
              <w:right w:val="single" w:sz="8" w:space="0" w:color="4BACC6"/>
            </w:tcBorders>
            <w:shd w:val="clear" w:color="auto" w:fill="auto"/>
          </w:tcPr>
          <w:p w:rsidR="002E7F29" w:rsidRPr="002E7F29" w:rsidRDefault="002E7F29" w:rsidP="002E7F29">
            <w:pPr>
              <w:spacing w:line="240" w:lineRule="atLeast"/>
              <w:ind w:firstLineChars="100" w:firstLine="161"/>
              <w:jc w:val="left"/>
              <w:rPr>
                <w:rFonts w:ascii="HG丸ｺﾞｼｯｸM-PRO" w:eastAsia="HG丸ｺﾞｼｯｸM-PRO" w:hAnsi="HG丸ｺﾞｼｯｸM-PRO"/>
                <w:b/>
                <w:bCs/>
                <w:sz w:val="16"/>
                <w:szCs w:val="16"/>
              </w:rPr>
            </w:pPr>
            <w:r w:rsidRPr="002E7F29">
              <w:rPr>
                <w:rFonts w:ascii="HG丸ｺﾞｼｯｸM-PRO" w:eastAsia="HG丸ｺﾞｼｯｸM-PRO" w:hAnsi="HG丸ｺﾞｼｯｸM-PRO" w:hint="eastAsia"/>
                <w:b/>
                <w:bCs/>
                <w:sz w:val="16"/>
                <w:szCs w:val="16"/>
              </w:rPr>
              <w:t>低い場合</w:t>
            </w:r>
          </w:p>
        </w:tc>
      </w:tr>
      <w:tr w:rsidR="002E7F29" w:rsidRPr="002E7F29" w:rsidTr="002E7F29">
        <w:trPr>
          <w:trHeight w:val="1488"/>
        </w:trPr>
        <w:tc>
          <w:tcPr>
            <w:tcW w:w="2802" w:type="dxa"/>
            <w:tcBorders>
              <w:top w:val="single" w:sz="8" w:space="0" w:color="4BACC6"/>
              <w:left w:val="single" w:sz="8" w:space="0" w:color="4BACC6"/>
              <w:bottom w:val="single" w:sz="8" w:space="0" w:color="4BACC6"/>
              <w:right w:val="single" w:sz="8" w:space="0" w:color="4BACC6"/>
            </w:tcBorders>
            <w:shd w:val="clear" w:color="auto" w:fill="D2EAF1"/>
            <w:hideMark/>
          </w:tcPr>
          <w:p w:rsidR="002E7F29" w:rsidRPr="002E7F29" w:rsidRDefault="002E7F29" w:rsidP="002E7F29">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精密検査が必要と判定された人のうち、精密検査で実際にがんが見つかった人の割合。</w:t>
            </w:r>
          </w:p>
          <w:p w:rsidR="002E7F29" w:rsidRPr="002E7F29" w:rsidRDefault="002E7F29" w:rsidP="002E7F29">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検診の効率を表す指標。</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2E7F29" w:rsidRPr="002E7F29" w:rsidRDefault="002E7F29" w:rsidP="002E7F29">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○要精検率とがん発見率が低く、かつ陽性反応適中度が高すぎる場合、検診機関が進行がんは発見できていても、早期がんを適切に発見できていない可能性がある。</w:t>
            </w:r>
          </w:p>
        </w:tc>
        <w:tc>
          <w:tcPr>
            <w:tcW w:w="3969" w:type="dxa"/>
            <w:tcBorders>
              <w:top w:val="single" w:sz="8" w:space="0" w:color="4BACC6"/>
              <w:left w:val="single" w:sz="8" w:space="0" w:color="4BACC6"/>
              <w:bottom w:val="single" w:sz="8" w:space="0" w:color="4BACC6"/>
              <w:right w:val="single" w:sz="8" w:space="0" w:color="4BACC6"/>
            </w:tcBorders>
            <w:shd w:val="clear" w:color="auto" w:fill="D2EAF1"/>
            <w:hideMark/>
          </w:tcPr>
          <w:p w:rsidR="002E7F29" w:rsidRPr="002E7F29" w:rsidRDefault="002E7F29" w:rsidP="002E7F29">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 xml:space="preserve">○精検受診率が低ければ低くなる。　　　　　　　　</w:t>
            </w:r>
          </w:p>
          <w:p w:rsidR="002E7F29" w:rsidRPr="002E7F29" w:rsidRDefault="002E7F29" w:rsidP="002E7F29">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○受診者のうち、高齢者などがんにかかりやすい性・年齢の割合が低かった可能性がある。　　　　　　　　　　　　　　　　　　○がんでないのに、がんかもしれないと判定される人が多い可能性がある。</w:t>
            </w:r>
          </w:p>
        </w:tc>
      </w:tr>
    </w:tbl>
    <w:p w:rsidR="002E7F29" w:rsidRDefault="002E7F29" w:rsidP="002E7F29">
      <w:pPr>
        <w:rPr>
          <w:sz w:val="18"/>
          <w:szCs w:val="18"/>
        </w:rPr>
      </w:pPr>
    </w:p>
    <w:p w:rsidR="002E7F29" w:rsidRPr="002E7F29" w:rsidRDefault="002E7F29" w:rsidP="002E7F29">
      <w:pPr>
        <w:rPr>
          <w:sz w:val="18"/>
          <w:szCs w:val="18"/>
        </w:rPr>
      </w:pPr>
    </w:p>
    <w:p w:rsidR="002E7F29" w:rsidRPr="002E7F29" w:rsidRDefault="002E7F29" w:rsidP="002E7F29">
      <w:pPr>
        <w:rPr>
          <w:sz w:val="18"/>
          <w:szCs w:val="18"/>
        </w:rPr>
      </w:pPr>
      <w:r w:rsidRPr="002E7F29">
        <w:rPr>
          <w:rFonts w:hint="eastAsia"/>
          <w:sz w:val="18"/>
          <w:szCs w:val="18"/>
        </w:rPr>
        <w:t>注）がん検診は、症状のない方のための検査です。明らかな症状のある方には、それぞれの体の状態に応じた適切な検査や治療が必要になります。症状のある場合は、必ず医療機関を受診してください。</w:t>
      </w:r>
    </w:p>
    <w:p w:rsidR="002E7F29" w:rsidRPr="002E7F29" w:rsidRDefault="002E7F29" w:rsidP="002E7F29">
      <w:pPr>
        <w:rPr>
          <w:b/>
          <w:sz w:val="36"/>
          <w:szCs w:val="36"/>
          <w:u w:val="single"/>
        </w:rPr>
      </w:pPr>
    </w:p>
    <w:p w:rsidR="00627375" w:rsidRPr="002E7F29" w:rsidRDefault="00627375">
      <w:pPr>
        <w:rPr>
          <w:szCs w:val="21"/>
        </w:rPr>
      </w:pPr>
    </w:p>
    <w:p w:rsidR="002E7F29" w:rsidRDefault="002E7F29">
      <w:pPr>
        <w:rPr>
          <w:szCs w:val="21"/>
        </w:rPr>
      </w:pPr>
    </w:p>
    <w:p w:rsidR="002E7F29" w:rsidRDefault="002E7F29">
      <w:pPr>
        <w:rPr>
          <w:rFonts w:hint="eastAsia"/>
          <w:szCs w:val="21"/>
        </w:rPr>
      </w:pPr>
    </w:p>
    <w:p w:rsidR="000811B2" w:rsidRDefault="000811B2">
      <w:pPr>
        <w:rPr>
          <w:rFonts w:hint="eastAsia"/>
          <w:szCs w:val="21"/>
        </w:rPr>
      </w:pPr>
    </w:p>
    <w:p w:rsidR="000811B2" w:rsidRDefault="000811B2">
      <w:pPr>
        <w:rPr>
          <w:rFonts w:hint="eastAsia"/>
          <w:szCs w:val="21"/>
        </w:rPr>
      </w:pPr>
    </w:p>
    <w:p w:rsidR="000811B2" w:rsidRDefault="000811B2">
      <w:pPr>
        <w:rPr>
          <w:szCs w:val="21"/>
        </w:rPr>
      </w:pPr>
    </w:p>
    <w:p w:rsidR="00627375" w:rsidRDefault="00627375">
      <w:pPr>
        <w:rPr>
          <w:szCs w:val="21"/>
        </w:rPr>
      </w:pPr>
      <w:r>
        <w:rPr>
          <w:rFonts w:hint="eastAsia"/>
          <w:b/>
          <w:sz w:val="36"/>
          <w:szCs w:val="36"/>
          <w:u w:val="single"/>
        </w:rPr>
        <w:lastRenderedPageBreak/>
        <w:t>がん発見率</w:t>
      </w:r>
    </w:p>
    <w:p w:rsidR="00627375" w:rsidRDefault="000811B2">
      <w:pPr>
        <w:rPr>
          <w:szCs w:val="21"/>
        </w:rPr>
      </w:pPr>
      <w:r>
        <w:rPr>
          <w:noProof/>
        </w:rPr>
        <w:drawing>
          <wp:anchor distT="0" distB="0" distL="114300" distR="114300" simplePos="0" relativeHeight="251667456" behindDoc="0" locked="0" layoutInCell="1" allowOverlap="1" wp14:anchorId="4795196C" wp14:editId="3DFD1741">
            <wp:simplePos x="0" y="0"/>
            <wp:positionH relativeFrom="column">
              <wp:posOffset>1617980</wp:posOffset>
            </wp:positionH>
            <wp:positionV relativeFrom="paragraph">
              <wp:posOffset>76200</wp:posOffset>
            </wp:positionV>
            <wp:extent cx="5485130" cy="2867025"/>
            <wp:effectExtent l="0" t="0" r="0" b="0"/>
            <wp:wrapSquare wrapText="bothSides"/>
            <wp:docPr id="1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noChangeArrowheads="1"/>
                      <a:extLst>
                        <a:ext uri="{84589F7E-364E-4C9E-8A38-B11213B215E9}">
                          <a14:cameraTool xmlns:a14="http://schemas.microsoft.com/office/drawing/2010/main" cellRange="肺がん発見率ランキング!$P$2:$X$18" spid="_x0000_s11331"/>
                        </a:ext>
                      </a:extLst>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5130" cy="2867025"/>
                    </a:xfrm>
                    <a:prstGeom prst="rect">
                      <a:avLst/>
                    </a:prstGeom>
                    <a:noFill/>
                    <a:extLst/>
                  </pic:spPr>
                </pic:pic>
              </a:graphicData>
            </a:graphic>
            <wp14:sizeRelH relativeFrom="page">
              <wp14:pctWidth>0</wp14:pctWidth>
            </wp14:sizeRelH>
            <wp14:sizeRelV relativeFrom="page">
              <wp14:pctHeight>0</wp14:pctHeight>
            </wp14:sizeRelV>
          </wp:anchor>
        </w:drawing>
      </w:r>
    </w:p>
    <w:p w:rsidR="00627375" w:rsidRDefault="000811B2">
      <w:pPr>
        <w:rPr>
          <w:szCs w:val="21"/>
        </w:rPr>
      </w:pPr>
      <w:r>
        <w:rPr>
          <w:noProof/>
        </w:rPr>
        <w:drawing>
          <wp:inline distT="0" distB="0" distL="0" distR="0" wp14:anchorId="0655140C" wp14:editId="08EEC7F6">
            <wp:extent cx="1552916" cy="2591438"/>
            <wp:effectExtent l="0" t="0" r="9525" b="0"/>
            <wp:docPr id="19"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noChangeArrowheads="1"/>
                      <a:extLst>
                        <a:ext uri="{84589F7E-364E-4C9E-8A38-B11213B215E9}">
                          <a14:cameraTool xmlns:a14="http://schemas.microsoft.com/office/drawing/2010/main" cellRange="肺がん発見率ランキング!$L$2:$M$16" spid="_x0000_s11330"/>
                        </a:ext>
                      </a:extLst>
                    </pic:cNvPicPr>
                  </pic:nvPicPr>
                  <pic:blipFill>
                    <a:blip r:embed="rId17"/>
                    <a:srcRect/>
                    <a:stretch>
                      <a:fillRect/>
                    </a:stretch>
                  </pic:blipFill>
                  <pic:spPr bwMode="auto">
                    <a:xfrm>
                      <a:off x="0" y="0"/>
                      <a:ext cx="1552916" cy="259143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627375">
        <w:rPr>
          <w:rFonts w:hint="eastAsia"/>
          <w:szCs w:val="21"/>
        </w:rPr>
        <w:t xml:space="preserve">　　</w:t>
      </w:r>
    </w:p>
    <w:p w:rsidR="00627375" w:rsidRDefault="00627375">
      <w:pPr>
        <w:rPr>
          <w:szCs w:val="21"/>
        </w:rPr>
      </w:pPr>
      <w:bookmarkStart w:id="0" w:name="_GoBack"/>
      <w:bookmarkEnd w:id="0"/>
    </w:p>
    <w:p w:rsidR="00627375" w:rsidRDefault="001E33D2">
      <w:pPr>
        <w:rPr>
          <w:szCs w:val="21"/>
        </w:rPr>
      </w:pPr>
      <w:r>
        <w:rPr>
          <w:rFonts w:hint="eastAsia"/>
          <w:noProof/>
          <w:szCs w:val="21"/>
        </w:rPr>
        <mc:AlternateContent>
          <mc:Choice Requires="wps">
            <w:drawing>
              <wp:anchor distT="0" distB="0" distL="114300" distR="114300" simplePos="0" relativeHeight="251659264" behindDoc="0" locked="0" layoutInCell="1" allowOverlap="1" wp14:anchorId="0818ABFD" wp14:editId="358AC54E">
                <wp:simplePos x="0" y="0"/>
                <wp:positionH relativeFrom="column">
                  <wp:posOffset>923925</wp:posOffset>
                </wp:positionH>
                <wp:positionV relativeFrom="paragraph">
                  <wp:posOffset>192405</wp:posOffset>
                </wp:positionV>
                <wp:extent cx="5791200" cy="2162175"/>
                <wp:effectExtent l="0" t="381000" r="19050" b="28575"/>
                <wp:wrapNone/>
                <wp:docPr id="4" name="四角形吹き出し 4"/>
                <wp:cNvGraphicFramePr/>
                <a:graphic xmlns:a="http://schemas.openxmlformats.org/drawingml/2006/main">
                  <a:graphicData uri="http://schemas.microsoft.com/office/word/2010/wordprocessingShape">
                    <wps:wsp>
                      <wps:cNvSpPr/>
                      <wps:spPr>
                        <a:xfrm>
                          <a:off x="0" y="0"/>
                          <a:ext cx="5791200" cy="2162175"/>
                        </a:xfrm>
                        <a:prstGeom prst="wedgeRectCallout">
                          <a:avLst>
                            <a:gd name="adj1" fmla="val -42531"/>
                            <a:gd name="adj2" fmla="val -66981"/>
                          </a:avLst>
                        </a:prstGeom>
                      </wps:spPr>
                      <wps:style>
                        <a:lnRef idx="2">
                          <a:schemeClr val="accent1"/>
                        </a:lnRef>
                        <a:fillRef idx="1">
                          <a:schemeClr val="lt1"/>
                        </a:fillRef>
                        <a:effectRef idx="0">
                          <a:schemeClr val="accent1"/>
                        </a:effectRef>
                        <a:fontRef idx="minor">
                          <a:schemeClr val="dk1"/>
                        </a:fontRef>
                      </wps:style>
                      <wps:txbx>
                        <w:txbxContent>
                          <w:p w:rsidR="001E33D2" w:rsidRDefault="001E33D2" w:rsidP="001E33D2">
                            <w:pPr>
                              <w:rPr>
                                <w:sz w:val="16"/>
                                <w:szCs w:val="16"/>
                              </w:rPr>
                            </w:pPr>
                            <w:r>
                              <w:rPr>
                                <w:rFonts w:hint="eastAsia"/>
                                <w:sz w:val="16"/>
                                <w:szCs w:val="16"/>
                              </w:rPr>
                              <w:t>大阪府の肺がん検診では、受診者約</w:t>
                            </w:r>
                            <w:r>
                              <w:rPr>
                                <w:sz w:val="16"/>
                                <w:szCs w:val="16"/>
                              </w:rPr>
                              <w:t>1700</w:t>
                            </w:r>
                            <w:r>
                              <w:rPr>
                                <w:rFonts w:hint="eastAsia"/>
                                <w:sz w:val="16"/>
                                <w:szCs w:val="16"/>
                              </w:rPr>
                              <w:t>人あたりに</w:t>
                            </w:r>
                            <w:r>
                              <w:rPr>
                                <w:sz w:val="16"/>
                                <w:szCs w:val="16"/>
                              </w:rPr>
                              <w:t>1</w:t>
                            </w:r>
                            <w:r>
                              <w:rPr>
                                <w:rFonts w:hint="eastAsia"/>
                                <w:sz w:val="16"/>
                                <w:szCs w:val="16"/>
                              </w:rPr>
                              <w:t>人、がんが発見されます。受診者数が年間それよりも少ない場合はがんが</w:t>
                            </w:r>
                            <w:r>
                              <w:rPr>
                                <w:sz w:val="16"/>
                                <w:szCs w:val="16"/>
                              </w:rPr>
                              <w:t>1</w:t>
                            </w:r>
                            <w:r>
                              <w:rPr>
                                <w:rFonts w:hint="eastAsia"/>
                                <w:sz w:val="16"/>
                                <w:szCs w:val="16"/>
                              </w:rPr>
                              <w:t>例も発見されず、</w:t>
                            </w:r>
                            <w:r>
                              <w:rPr>
                                <w:sz w:val="16"/>
                                <w:szCs w:val="16"/>
                              </w:rPr>
                              <w:t>0.00</w:t>
                            </w:r>
                            <w:r>
                              <w:rPr>
                                <w:rFonts w:hint="eastAsia"/>
                                <w:sz w:val="16"/>
                                <w:szCs w:val="16"/>
                              </w:rPr>
                              <w:t>％になることがありえます。</w:t>
                            </w:r>
                          </w:p>
                          <w:p w:rsidR="001E33D2" w:rsidRDefault="001E33D2" w:rsidP="001E33D2">
                            <w:pPr>
                              <w:rPr>
                                <w:sz w:val="16"/>
                                <w:szCs w:val="16"/>
                              </w:rPr>
                            </w:pPr>
                            <w:r>
                              <w:rPr>
                                <w:rFonts w:hint="eastAsia"/>
                                <w:sz w:val="16"/>
                                <w:szCs w:val="16"/>
                              </w:rPr>
                              <w:t>肺がん検診の胸部エックス線検査では、肺がん以外に結核、肺炎、心拡大などの肺がん以外の疾患も異常として指摘されますので、肺がん検診として受診されたとしても、これらの肺がん以外の疾患疑いで精密検査を要する方は、多く見られます。平成</w:t>
                            </w:r>
                            <w:r>
                              <w:rPr>
                                <w:sz w:val="16"/>
                                <w:szCs w:val="16"/>
                              </w:rPr>
                              <w:t>21</w:t>
                            </w:r>
                            <w:r>
                              <w:rPr>
                                <w:rFonts w:hint="eastAsia"/>
                                <w:sz w:val="16"/>
                                <w:szCs w:val="16"/>
                              </w:rPr>
                              <w:t>年度からは、エックス線検査の判定で、「肺がん疑い」と判定されたもののみを、要精密検査とし、そこから発見されたがんのみを「がん発見」として計上することが、日本肺癌学会から通知されています。このためエックス線検査での異常陰影の多くを「肺がん以外の疾患疑い」と判定する検診機関や市町村では、要精検率がゼロに近くなり、またそこから肺がんが発見されていても、統計上は「がん発見」に含まれなくなります。したがって、発見率ゼロの市町村が多いのは、必ずしも肺がんを見つけるという意味での精度が低いということではありません。</w:t>
                            </w:r>
                          </w:p>
                          <w:p w:rsidR="001E33D2" w:rsidRPr="001E33D2" w:rsidRDefault="001E33D2" w:rsidP="001E33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4" o:spid="_x0000_s1031" type="#_x0000_t61" style="position:absolute;left:0;text-align:left;margin-left:72.75pt;margin-top:15.15pt;width:456pt;height:17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" adj="1613,-3668" fillcolor="white [3201]" strokecolor="#4f81bd [3204]" strokeweight="2pt">
                <v:textbox>
                  <w:txbxContent>
                    <w:p w:rsidR="001E33D2" w:rsidRDefault="001E33D2" w:rsidP="001E33D2">
                      <w:pPr>
                        <w:rPr>
                          <w:sz w:val="16"/>
                          <w:szCs w:val="16"/>
                        </w:rPr>
                      </w:pPr>
                      <w:r>
                        <w:rPr>
                          <w:rFonts w:hint="eastAsia"/>
                          <w:sz w:val="16"/>
                          <w:szCs w:val="16"/>
                        </w:rPr>
                        <w:t>大阪府の肺がん検診では、受診者約</w:t>
                      </w:r>
                      <w:r>
                        <w:rPr>
                          <w:sz w:val="16"/>
                          <w:szCs w:val="16"/>
                        </w:rPr>
                        <w:t>1700</w:t>
                      </w:r>
                      <w:r>
                        <w:rPr>
                          <w:rFonts w:hint="eastAsia"/>
                          <w:sz w:val="16"/>
                          <w:szCs w:val="16"/>
                        </w:rPr>
                        <w:t>人あたりに</w:t>
                      </w:r>
                      <w:r>
                        <w:rPr>
                          <w:sz w:val="16"/>
                          <w:szCs w:val="16"/>
                        </w:rPr>
                        <w:t>1</w:t>
                      </w:r>
                      <w:r>
                        <w:rPr>
                          <w:rFonts w:hint="eastAsia"/>
                          <w:sz w:val="16"/>
                          <w:szCs w:val="16"/>
                        </w:rPr>
                        <w:t>人、がんが発見されます。受診者数が年間それよりも少ない場合はがんが</w:t>
                      </w:r>
                      <w:r>
                        <w:rPr>
                          <w:sz w:val="16"/>
                          <w:szCs w:val="16"/>
                        </w:rPr>
                        <w:t>1</w:t>
                      </w:r>
                      <w:r>
                        <w:rPr>
                          <w:rFonts w:hint="eastAsia"/>
                          <w:sz w:val="16"/>
                          <w:szCs w:val="16"/>
                        </w:rPr>
                        <w:t>例も発見されず、</w:t>
                      </w:r>
                      <w:r>
                        <w:rPr>
                          <w:sz w:val="16"/>
                          <w:szCs w:val="16"/>
                        </w:rPr>
                        <w:t>0.00</w:t>
                      </w:r>
                      <w:r>
                        <w:rPr>
                          <w:rFonts w:hint="eastAsia"/>
                          <w:sz w:val="16"/>
                          <w:szCs w:val="16"/>
                        </w:rPr>
                        <w:t>％になることがありえます。</w:t>
                      </w:r>
                    </w:p>
                    <w:p w:rsidR="001E33D2" w:rsidRDefault="001E33D2" w:rsidP="001E33D2">
                      <w:pPr>
                        <w:rPr>
                          <w:sz w:val="16"/>
                          <w:szCs w:val="16"/>
                        </w:rPr>
                      </w:pPr>
                      <w:r>
                        <w:rPr>
                          <w:rFonts w:hint="eastAsia"/>
                          <w:sz w:val="16"/>
                          <w:szCs w:val="16"/>
                        </w:rPr>
                        <w:t>肺がん検診の胸部エックス線検査では、肺がん以外に結核、肺炎、心拡大などの肺がん以外の疾患も異常として指摘されますので、肺がん検診として受診されたとしても、これらの肺がん以外の疾患疑いで精密検査を要する方は、多く見られます。平成</w:t>
                      </w:r>
                      <w:r>
                        <w:rPr>
                          <w:sz w:val="16"/>
                          <w:szCs w:val="16"/>
                        </w:rPr>
                        <w:t>21</w:t>
                      </w:r>
                      <w:r>
                        <w:rPr>
                          <w:rFonts w:hint="eastAsia"/>
                          <w:sz w:val="16"/>
                          <w:szCs w:val="16"/>
                        </w:rPr>
                        <w:t>年度からは、エックス線検査の判定で、「肺がん疑い」と判定されたもののみを、要精密検査とし、そこから発見されたがんのみを「がん発見」として計上することが、日本肺癌学会から通知されています。このためエックス線検査での異常陰影の多くを「肺がん以外の疾患疑い」と判定する検診機関や市町村では、要精検率がゼロに近くなり、またそこから肺がんが発見されていても、統計上は「がん発見」に含まれなくなります。したがって、発見率ゼロの市町村が多いのは、必ずしも肺がんを見つけるという意味での精度が低いということではありません。</w:t>
                      </w:r>
                    </w:p>
                    <w:p w:rsidR="001E33D2" w:rsidRPr="001E33D2" w:rsidRDefault="001E33D2" w:rsidP="001E33D2">
                      <w:pPr>
                        <w:jc w:val="center"/>
                      </w:pPr>
                    </w:p>
                  </w:txbxContent>
                </v:textbox>
              </v:shape>
            </w:pict>
          </mc:Fallback>
        </mc:AlternateContent>
      </w:r>
    </w:p>
    <w:p w:rsidR="00627375" w:rsidRDefault="00627375">
      <w:pPr>
        <w:rPr>
          <w:szCs w:val="21"/>
        </w:rPr>
      </w:pPr>
    </w:p>
    <w:p w:rsidR="00627375" w:rsidRDefault="00627375">
      <w:pPr>
        <w:rPr>
          <w:szCs w:val="21"/>
        </w:rPr>
      </w:pPr>
    </w:p>
    <w:p w:rsidR="001E33D2" w:rsidRDefault="001E33D2">
      <w:pPr>
        <w:rPr>
          <w:szCs w:val="21"/>
        </w:rPr>
      </w:pPr>
    </w:p>
    <w:p w:rsidR="001E33D2" w:rsidRDefault="001E33D2">
      <w:pPr>
        <w:rPr>
          <w:szCs w:val="21"/>
        </w:rPr>
      </w:pPr>
    </w:p>
    <w:p w:rsidR="001E33D2" w:rsidRDefault="001E33D2">
      <w:pPr>
        <w:rPr>
          <w:szCs w:val="21"/>
        </w:rPr>
      </w:pPr>
    </w:p>
    <w:p w:rsidR="001E33D2" w:rsidRDefault="001E33D2">
      <w:pPr>
        <w:rPr>
          <w:szCs w:val="21"/>
        </w:rPr>
      </w:pPr>
    </w:p>
    <w:p w:rsidR="001E33D2" w:rsidRDefault="001E33D2">
      <w:pPr>
        <w:rPr>
          <w:szCs w:val="21"/>
        </w:rPr>
      </w:pPr>
    </w:p>
    <w:p w:rsidR="001E33D2" w:rsidRDefault="001E33D2">
      <w:pPr>
        <w:rPr>
          <w:szCs w:val="21"/>
        </w:rPr>
      </w:pPr>
    </w:p>
    <w:p w:rsidR="001E33D2" w:rsidRDefault="001E33D2">
      <w:pPr>
        <w:rPr>
          <w:szCs w:val="21"/>
        </w:rPr>
      </w:pPr>
    </w:p>
    <w:p w:rsidR="001E33D2" w:rsidRDefault="001E33D2">
      <w:pPr>
        <w:rPr>
          <w:szCs w:val="21"/>
        </w:rPr>
      </w:pPr>
    </w:p>
    <w:tbl>
      <w:tblPr>
        <w:tblpPr w:leftFromText="142" w:rightFromText="142" w:vertAnchor="text" w:horzAnchor="margin" w:tblpY="65"/>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671"/>
        <w:gridCol w:w="3843"/>
        <w:gridCol w:w="4128"/>
      </w:tblGrid>
      <w:tr w:rsidR="001E33D2" w:rsidTr="001E33D2">
        <w:trPr>
          <w:trHeight w:val="402"/>
        </w:trPr>
        <w:tc>
          <w:tcPr>
            <w:tcW w:w="2671" w:type="dxa"/>
            <w:tcBorders>
              <w:top w:val="single" w:sz="8" w:space="0" w:color="4BACC6"/>
              <w:left w:val="single" w:sz="8" w:space="0" w:color="4BACC6"/>
              <w:bottom w:val="single" w:sz="18" w:space="0" w:color="4BACC6"/>
              <w:right w:val="single" w:sz="8" w:space="0" w:color="4BACC6"/>
            </w:tcBorders>
            <w:hideMark/>
          </w:tcPr>
          <w:p w:rsidR="001E33D2" w:rsidRDefault="001E33D2" w:rsidP="00633AC4">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がん発見率とは</w:t>
            </w:r>
          </w:p>
        </w:tc>
        <w:tc>
          <w:tcPr>
            <w:tcW w:w="3843" w:type="dxa"/>
            <w:tcBorders>
              <w:top w:val="single" w:sz="8" w:space="0" w:color="4BACC6"/>
              <w:left w:val="single" w:sz="8" w:space="0" w:color="4BACC6"/>
              <w:bottom w:val="single" w:sz="18" w:space="0" w:color="4BACC6"/>
              <w:right w:val="single" w:sz="8" w:space="0" w:color="4BACC6"/>
            </w:tcBorders>
            <w:hideMark/>
          </w:tcPr>
          <w:p w:rsidR="001E33D2" w:rsidRDefault="001E33D2" w:rsidP="00633AC4">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高い場合</w:t>
            </w:r>
          </w:p>
        </w:tc>
        <w:tc>
          <w:tcPr>
            <w:tcW w:w="4128" w:type="dxa"/>
            <w:tcBorders>
              <w:top w:val="single" w:sz="8" w:space="0" w:color="4BACC6"/>
              <w:left w:val="single" w:sz="8" w:space="0" w:color="4BACC6"/>
              <w:bottom w:val="single" w:sz="18" w:space="0" w:color="4BACC6"/>
              <w:right w:val="single" w:sz="8" w:space="0" w:color="4BACC6"/>
            </w:tcBorders>
            <w:hideMark/>
          </w:tcPr>
          <w:p w:rsidR="001E33D2" w:rsidRDefault="001E33D2" w:rsidP="00633AC4">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低い場合</w:t>
            </w:r>
          </w:p>
        </w:tc>
      </w:tr>
      <w:tr w:rsidR="001E33D2" w:rsidTr="001E33D2">
        <w:trPr>
          <w:trHeight w:val="804"/>
        </w:trPr>
        <w:tc>
          <w:tcPr>
            <w:tcW w:w="2671" w:type="dxa"/>
            <w:tcBorders>
              <w:top w:val="single" w:sz="8" w:space="0" w:color="4BACC6"/>
              <w:left w:val="single" w:sz="8" w:space="0" w:color="4BACC6"/>
              <w:bottom w:val="single" w:sz="8" w:space="0" w:color="4BACC6"/>
              <w:right w:val="single" w:sz="8" w:space="0" w:color="4BACC6"/>
            </w:tcBorders>
            <w:shd w:val="clear" w:color="auto" w:fill="D2EAF1"/>
            <w:hideMark/>
          </w:tcPr>
          <w:p w:rsidR="001E33D2" w:rsidRDefault="001E33D2" w:rsidP="00633AC4">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がん検診を受けた人のうち、実際にがんが見つかった人の割合。</w:t>
            </w:r>
          </w:p>
        </w:tc>
        <w:tc>
          <w:tcPr>
            <w:tcW w:w="3843" w:type="dxa"/>
            <w:tcBorders>
              <w:top w:val="single" w:sz="8" w:space="0" w:color="4BACC6"/>
              <w:left w:val="single" w:sz="8" w:space="0" w:color="4BACC6"/>
              <w:bottom w:val="single" w:sz="8" w:space="0" w:color="4BACC6"/>
              <w:right w:val="single" w:sz="8" w:space="0" w:color="4BACC6"/>
            </w:tcBorders>
            <w:shd w:val="clear" w:color="auto" w:fill="D2EAF1"/>
            <w:hideMark/>
          </w:tcPr>
          <w:p w:rsidR="001E33D2" w:rsidRDefault="001E33D2" w:rsidP="00633AC4">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○見つかったがんの中で、早期がんの割合が高いほど良い。</w:t>
            </w:r>
          </w:p>
          <w:p w:rsidR="001E33D2" w:rsidRDefault="001E33D2" w:rsidP="00633AC4">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○基本的に高いことが望ましい。　　　　</w:t>
            </w:r>
          </w:p>
        </w:tc>
        <w:tc>
          <w:tcPr>
            <w:tcW w:w="4128" w:type="dxa"/>
            <w:tcBorders>
              <w:top w:val="single" w:sz="8" w:space="0" w:color="4BACC6"/>
              <w:left w:val="single" w:sz="8" w:space="0" w:color="4BACC6"/>
              <w:bottom w:val="single" w:sz="8" w:space="0" w:color="4BACC6"/>
              <w:right w:val="single" w:sz="8" w:space="0" w:color="4BACC6"/>
            </w:tcBorders>
            <w:shd w:val="clear" w:color="auto" w:fill="D2EAF1"/>
            <w:hideMark/>
          </w:tcPr>
          <w:p w:rsidR="001E33D2" w:rsidRDefault="001E33D2" w:rsidP="00633AC4">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○受診者のうち、高齢者などがんにかかりやすい性・年齢の割合が低かった可能性がある。　　　　　　　　　　　　　　　　　</w:t>
            </w:r>
          </w:p>
        </w:tc>
      </w:tr>
    </w:tbl>
    <w:p w:rsidR="001E33D2" w:rsidRDefault="001E33D2" w:rsidP="001E33D2">
      <w:pPr>
        <w:rPr>
          <w:sz w:val="18"/>
          <w:szCs w:val="18"/>
        </w:rPr>
      </w:pPr>
      <w:r>
        <w:rPr>
          <w:rFonts w:hint="eastAsia"/>
          <w:sz w:val="18"/>
          <w:szCs w:val="18"/>
        </w:rPr>
        <w:t>（注）がん検診は、症状のない方のための検査です。明らかな症状のある方には、それぞれの体の状態に応じた適切な検査や</w:t>
      </w:r>
    </w:p>
    <w:p w:rsidR="001E33D2" w:rsidRDefault="001E33D2" w:rsidP="001E33D2">
      <w:pPr>
        <w:rPr>
          <w:sz w:val="18"/>
          <w:szCs w:val="18"/>
        </w:rPr>
      </w:pPr>
      <w:r>
        <w:rPr>
          <w:rFonts w:hint="eastAsia"/>
          <w:sz w:val="18"/>
          <w:szCs w:val="18"/>
        </w:rPr>
        <w:t>治療が必要になります。症状のある場合は、必ず医療機関を受診してください。</w:t>
      </w:r>
    </w:p>
    <w:p w:rsidR="001E33D2" w:rsidRDefault="001E33D2" w:rsidP="001E33D2">
      <w:pPr>
        <w:rPr>
          <w:b/>
          <w:sz w:val="18"/>
          <w:szCs w:val="18"/>
        </w:rPr>
      </w:pPr>
    </w:p>
    <w:p w:rsidR="001E33D2" w:rsidRDefault="001E33D2" w:rsidP="001E33D2">
      <w:pPr>
        <w:rPr>
          <w:b/>
          <w:sz w:val="18"/>
          <w:szCs w:val="18"/>
        </w:rPr>
      </w:pPr>
      <w:r>
        <w:rPr>
          <w:rFonts w:hint="eastAsia"/>
          <w:b/>
          <w:sz w:val="18"/>
          <w:szCs w:val="18"/>
        </w:rPr>
        <w:t>※このグラフで掲載している全国平均、大阪府平均、許容値のデータ基は以下の通りです。</w:t>
      </w:r>
    </w:p>
    <w:p w:rsidR="001E33D2" w:rsidRDefault="001E33D2" w:rsidP="001E33D2">
      <w:pPr>
        <w:rPr>
          <w:b/>
          <w:sz w:val="18"/>
          <w:szCs w:val="18"/>
        </w:rPr>
      </w:pPr>
      <w:r>
        <w:rPr>
          <w:rFonts w:hint="eastAsia"/>
          <w:b/>
          <w:sz w:val="18"/>
          <w:szCs w:val="18"/>
        </w:rPr>
        <w:t xml:space="preserve">　【大阪府平均】大阪府におけるがん検診（平成</w:t>
      </w:r>
      <w:r w:rsidR="0029360B">
        <w:rPr>
          <w:rFonts w:hint="eastAsia"/>
          <w:b/>
          <w:sz w:val="18"/>
          <w:szCs w:val="18"/>
        </w:rPr>
        <w:t>2</w:t>
      </w:r>
      <w:r w:rsidR="0029360B">
        <w:rPr>
          <w:rFonts w:hint="eastAsia"/>
          <w:b/>
          <w:sz w:val="18"/>
          <w:szCs w:val="18"/>
        </w:rPr>
        <w:t>７</w:t>
      </w:r>
      <w:r>
        <w:rPr>
          <w:rFonts w:hint="eastAsia"/>
          <w:b/>
          <w:sz w:val="18"/>
          <w:szCs w:val="18"/>
        </w:rPr>
        <w:t>年度）</w:t>
      </w:r>
    </w:p>
    <w:p w:rsidR="001E33D2" w:rsidRPr="001E33D2" w:rsidRDefault="001E33D2">
      <w:pPr>
        <w:rPr>
          <w:b/>
          <w:sz w:val="18"/>
          <w:szCs w:val="18"/>
        </w:rPr>
      </w:pPr>
      <w:r>
        <w:rPr>
          <w:rFonts w:hint="eastAsia"/>
          <w:b/>
          <w:sz w:val="18"/>
          <w:szCs w:val="18"/>
        </w:rPr>
        <w:t xml:space="preserve">　【許容値】「今後の我が国におけるがん検診事業評価の在り方について（報告書）」から抜粋</w:t>
      </w:r>
    </w:p>
    <w:sectPr w:rsidR="001E33D2" w:rsidRPr="001E33D2" w:rsidSect="0024730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DCF" w:rsidRDefault="00616DCF" w:rsidP="00616DCF">
      <w:r>
        <w:separator/>
      </w:r>
    </w:p>
  </w:endnote>
  <w:endnote w:type="continuationSeparator" w:id="0">
    <w:p w:rsidR="00616DCF" w:rsidRDefault="00616DCF" w:rsidP="0061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DCF" w:rsidRDefault="00616DCF" w:rsidP="00616DCF">
      <w:r>
        <w:separator/>
      </w:r>
    </w:p>
  </w:footnote>
  <w:footnote w:type="continuationSeparator" w:id="0">
    <w:p w:rsidR="00616DCF" w:rsidRDefault="00616DCF" w:rsidP="00616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301"/>
    <w:rsid w:val="000811B2"/>
    <w:rsid w:val="001E33D2"/>
    <w:rsid w:val="002226B7"/>
    <w:rsid w:val="00247301"/>
    <w:rsid w:val="0029360B"/>
    <w:rsid w:val="002E7F29"/>
    <w:rsid w:val="00616DCF"/>
    <w:rsid w:val="00627375"/>
    <w:rsid w:val="00AF1FF3"/>
    <w:rsid w:val="00E71E4C"/>
    <w:rsid w:val="00FC0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3D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73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7301"/>
    <w:rPr>
      <w:rFonts w:asciiTheme="majorHAnsi" w:eastAsiaTheme="majorEastAsia" w:hAnsiTheme="majorHAnsi" w:cstheme="majorBidi"/>
      <w:sz w:val="18"/>
      <w:szCs w:val="18"/>
    </w:rPr>
  </w:style>
  <w:style w:type="paragraph" w:styleId="a5">
    <w:name w:val="header"/>
    <w:basedOn w:val="a"/>
    <w:link w:val="a6"/>
    <w:uiPriority w:val="99"/>
    <w:unhideWhenUsed/>
    <w:rsid w:val="00616DCF"/>
    <w:pPr>
      <w:tabs>
        <w:tab w:val="center" w:pos="4252"/>
        <w:tab w:val="right" w:pos="8504"/>
      </w:tabs>
      <w:snapToGrid w:val="0"/>
    </w:pPr>
    <w:rPr>
      <w:rFonts w:asciiTheme="minorHAnsi" w:eastAsiaTheme="minorEastAsia" w:hAnsiTheme="minorHAnsi" w:cstheme="minorBidi"/>
    </w:rPr>
  </w:style>
  <w:style w:type="character" w:customStyle="1" w:styleId="a6">
    <w:name w:val="ヘッダー (文字)"/>
    <w:basedOn w:val="a0"/>
    <w:link w:val="a5"/>
    <w:uiPriority w:val="99"/>
    <w:rsid w:val="00616DCF"/>
  </w:style>
  <w:style w:type="paragraph" w:styleId="a7">
    <w:name w:val="footer"/>
    <w:basedOn w:val="a"/>
    <w:link w:val="a8"/>
    <w:uiPriority w:val="99"/>
    <w:unhideWhenUsed/>
    <w:rsid w:val="00616DCF"/>
    <w:pPr>
      <w:tabs>
        <w:tab w:val="center" w:pos="4252"/>
        <w:tab w:val="right" w:pos="8504"/>
      </w:tabs>
      <w:snapToGrid w:val="0"/>
    </w:pPr>
    <w:rPr>
      <w:rFonts w:asciiTheme="minorHAnsi" w:eastAsiaTheme="minorEastAsia" w:hAnsiTheme="minorHAnsi" w:cstheme="minorBidi"/>
    </w:rPr>
  </w:style>
  <w:style w:type="character" w:customStyle="1" w:styleId="a8">
    <w:name w:val="フッター (文字)"/>
    <w:basedOn w:val="a0"/>
    <w:link w:val="a7"/>
    <w:uiPriority w:val="99"/>
    <w:rsid w:val="00616DCF"/>
  </w:style>
  <w:style w:type="paragraph" w:styleId="Web">
    <w:name w:val="Normal (Web)"/>
    <w:basedOn w:val="a"/>
    <w:uiPriority w:val="99"/>
    <w:semiHidden/>
    <w:unhideWhenUsed/>
    <w:rsid w:val="00FC05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3D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73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7301"/>
    <w:rPr>
      <w:rFonts w:asciiTheme="majorHAnsi" w:eastAsiaTheme="majorEastAsia" w:hAnsiTheme="majorHAnsi" w:cstheme="majorBidi"/>
      <w:sz w:val="18"/>
      <w:szCs w:val="18"/>
    </w:rPr>
  </w:style>
  <w:style w:type="paragraph" w:styleId="a5">
    <w:name w:val="header"/>
    <w:basedOn w:val="a"/>
    <w:link w:val="a6"/>
    <w:uiPriority w:val="99"/>
    <w:unhideWhenUsed/>
    <w:rsid w:val="00616DCF"/>
    <w:pPr>
      <w:tabs>
        <w:tab w:val="center" w:pos="4252"/>
        <w:tab w:val="right" w:pos="8504"/>
      </w:tabs>
      <w:snapToGrid w:val="0"/>
    </w:pPr>
    <w:rPr>
      <w:rFonts w:asciiTheme="minorHAnsi" w:eastAsiaTheme="minorEastAsia" w:hAnsiTheme="minorHAnsi" w:cstheme="minorBidi"/>
    </w:rPr>
  </w:style>
  <w:style w:type="character" w:customStyle="1" w:styleId="a6">
    <w:name w:val="ヘッダー (文字)"/>
    <w:basedOn w:val="a0"/>
    <w:link w:val="a5"/>
    <w:uiPriority w:val="99"/>
    <w:rsid w:val="00616DCF"/>
  </w:style>
  <w:style w:type="paragraph" w:styleId="a7">
    <w:name w:val="footer"/>
    <w:basedOn w:val="a"/>
    <w:link w:val="a8"/>
    <w:uiPriority w:val="99"/>
    <w:unhideWhenUsed/>
    <w:rsid w:val="00616DCF"/>
    <w:pPr>
      <w:tabs>
        <w:tab w:val="center" w:pos="4252"/>
        <w:tab w:val="right" w:pos="8504"/>
      </w:tabs>
      <w:snapToGrid w:val="0"/>
    </w:pPr>
    <w:rPr>
      <w:rFonts w:asciiTheme="minorHAnsi" w:eastAsiaTheme="minorEastAsia" w:hAnsiTheme="minorHAnsi" w:cstheme="minorBidi"/>
    </w:rPr>
  </w:style>
  <w:style w:type="character" w:customStyle="1" w:styleId="a8">
    <w:name w:val="フッター (文字)"/>
    <w:basedOn w:val="a0"/>
    <w:link w:val="a7"/>
    <w:uiPriority w:val="99"/>
    <w:rsid w:val="00616DCF"/>
  </w:style>
  <w:style w:type="paragraph" w:styleId="Web">
    <w:name w:val="Normal (Web)"/>
    <w:basedOn w:val="a"/>
    <w:uiPriority w:val="99"/>
    <w:semiHidden/>
    <w:unhideWhenUsed/>
    <w:rsid w:val="00FC05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429482">
      <w:bodyDiv w:val="1"/>
      <w:marLeft w:val="0"/>
      <w:marRight w:val="0"/>
      <w:marTop w:val="0"/>
      <w:marBottom w:val="0"/>
      <w:divBdr>
        <w:top w:val="none" w:sz="0" w:space="0" w:color="auto"/>
        <w:left w:val="none" w:sz="0" w:space="0" w:color="auto"/>
        <w:bottom w:val="none" w:sz="0" w:space="0" w:color="auto"/>
        <w:right w:val="none" w:sz="0" w:space="0" w:color="auto"/>
      </w:divBdr>
    </w:div>
    <w:div w:id="412170057">
      <w:bodyDiv w:val="1"/>
      <w:marLeft w:val="0"/>
      <w:marRight w:val="0"/>
      <w:marTop w:val="0"/>
      <w:marBottom w:val="0"/>
      <w:divBdr>
        <w:top w:val="none" w:sz="0" w:space="0" w:color="auto"/>
        <w:left w:val="none" w:sz="0" w:space="0" w:color="auto"/>
        <w:bottom w:val="none" w:sz="0" w:space="0" w:color="auto"/>
        <w:right w:val="none" w:sz="0" w:space="0" w:color="auto"/>
      </w:divBdr>
    </w:div>
    <w:div w:id="21077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n-lt"/>
                <a:ea typeface="+mn-ea"/>
                <a:cs typeface="+mn-cs"/>
              </a:defRPr>
            </a:pPr>
            <a:r>
              <a:rPr lang="ja-JP" altLang="en-US"/>
              <a:t>平成</a:t>
            </a:r>
            <a:r>
              <a:rPr lang="en-US" altLang="ja-JP"/>
              <a:t>27</a:t>
            </a:r>
            <a:r>
              <a:rPr lang="ja-JP" altLang="en-US"/>
              <a:t>年度　肺がん検診陽性反応適中度（</a:t>
            </a:r>
            <a:r>
              <a:rPr lang="en-US" altLang="ja-JP"/>
              <a:t>%</a:t>
            </a:r>
            <a:r>
              <a:rPr lang="ja-JP" altLang="en-US"/>
              <a:t>）</a:t>
            </a:r>
          </a:p>
        </c:rich>
      </c:tx>
      <c:layout/>
      <c:overlay val="1"/>
    </c:title>
    <c:autoTitleDeleted val="0"/>
    <c:plotArea>
      <c:layout>
        <c:manualLayout>
          <c:layoutTarget val="inner"/>
          <c:xMode val="edge"/>
          <c:yMode val="edge"/>
          <c:x val="5.2547457594015384E-2"/>
          <c:y val="0.14291570402257991"/>
          <c:w val="0.90462429316016835"/>
          <c:h val="0.63015886748346939"/>
        </c:manualLayout>
      </c:layout>
      <c:barChart>
        <c:barDir val="col"/>
        <c:grouping val="clustered"/>
        <c:varyColors val="0"/>
        <c:ser>
          <c:idx val="0"/>
          <c:order val="0"/>
          <c:tx>
            <c:strRef>
              <c:f>'[H27肺がんグラフ.xlsx]府HP（陽性反応適中度）'!$H$1</c:f>
              <c:strCache>
                <c:ptCount val="1"/>
              </c:strCache>
            </c:strRef>
          </c:tx>
          <c:spPr>
            <a:gradFill>
              <a:gsLst>
                <a:gs pos="0">
                  <a:srgbClr val="5E9EFF"/>
                </a:gs>
                <a:gs pos="39999">
                  <a:srgbClr val="85C2FF"/>
                </a:gs>
                <a:gs pos="70000">
                  <a:srgbClr val="C4D6EB"/>
                </a:gs>
                <a:gs pos="100000">
                  <a:srgbClr val="FFEBFA"/>
                </a:gs>
              </a:gsLst>
              <a:lin ang="5400000" scaled="0"/>
            </a:gradFill>
            <a:ln w="12700">
              <a:solidFill>
                <a:sysClr val="windowText" lastClr="000000"/>
              </a:solidFill>
            </a:ln>
          </c:spPr>
          <c:invertIfNegative val="0"/>
          <c:cat>
            <c:strRef>
              <c:f>'[H27肺がんグラフ.xlsx]府HP（陽性反応適中度）'!$G$2:$G$44</c:f>
              <c:strCache>
                <c:ptCount val="43"/>
                <c:pt idx="0">
                  <c:v>千早赤阪村</c:v>
                </c:pt>
                <c:pt idx="1">
                  <c:v>八尾市</c:v>
                </c:pt>
                <c:pt idx="2">
                  <c:v>島本町</c:v>
                </c:pt>
                <c:pt idx="3">
                  <c:v>太子町</c:v>
                </c:pt>
                <c:pt idx="4">
                  <c:v>箕面市</c:v>
                </c:pt>
                <c:pt idx="5">
                  <c:v>松原市</c:v>
                </c:pt>
                <c:pt idx="6">
                  <c:v>泉南市</c:v>
                </c:pt>
                <c:pt idx="7">
                  <c:v>豊能町</c:v>
                </c:pt>
                <c:pt idx="8">
                  <c:v>泉佐野市</c:v>
                </c:pt>
                <c:pt idx="9">
                  <c:v>岸和田市</c:v>
                </c:pt>
                <c:pt idx="10">
                  <c:v>貝塚市</c:v>
                </c:pt>
                <c:pt idx="11">
                  <c:v>守口市</c:v>
                </c:pt>
                <c:pt idx="12">
                  <c:v>東大阪市</c:v>
                </c:pt>
                <c:pt idx="13">
                  <c:v>摂津市</c:v>
                </c:pt>
                <c:pt idx="14">
                  <c:v>枚方市</c:v>
                </c:pt>
                <c:pt idx="15">
                  <c:v>高石市</c:v>
                </c:pt>
                <c:pt idx="16">
                  <c:v>河内長野市</c:v>
                </c:pt>
                <c:pt idx="17">
                  <c:v>茨木市</c:v>
                </c:pt>
                <c:pt idx="18">
                  <c:v>交野市</c:v>
                </c:pt>
                <c:pt idx="19">
                  <c:v>阪南市</c:v>
                </c:pt>
                <c:pt idx="20">
                  <c:v>高槻市</c:v>
                </c:pt>
                <c:pt idx="21">
                  <c:v>藤井寺市</c:v>
                </c:pt>
                <c:pt idx="22">
                  <c:v>大阪市</c:v>
                </c:pt>
                <c:pt idx="23">
                  <c:v>堺市</c:v>
                </c:pt>
                <c:pt idx="24">
                  <c:v>門真市</c:v>
                </c:pt>
                <c:pt idx="25">
                  <c:v>大東市</c:v>
                </c:pt>
                <c:pt idx="26">
                  <c:v>和泉市</c:v>
                </c:pt>
                <c:pt idx="27">
                  <c:v>吹田市</c:v>
                </c:pt>
                <c:pt idx="28">
                  <c:v>寝屋川市</c:v>
                </c:pt>
                <c:pt idx="29">
                  <c:v>豊中市</c:v>
                </c:pt>
                <c:pt idx="30">
                  <c:v>池田市</c:v>
                </c:pt>
                <c:pt idx="31">
                  <c:v>能勢町</c:v>
                </c:pt>
                <c:pt idx="32">
                  <c:v>四條畷市</c:v>
                </c:pt>
                <c:pt idx="33">
                  <c:v>柏原市</c:v>
                </c:pt>
                <c:pt idx="34">
                  <c:v>羽曳野市</c:v>
                </c:pt>
                <c:pt idx="35">
                  <c:v>大阪狭山市</c:v>
                </c:pt>
                <c:pt idx="36">
                  <c:v>富田林市</c:v>
                </c:pt>
                <c:pt idx="37">
                  <c:v>河南町</c:v>
                </c:pt>
                <c:pt idx="38">
                  <c:v>泉大津市</c:v>
                </c:pt>
                <c:pt idx="39">
                  <c:v>忠岡町</c:v>
                </c:pt>
                <c:pt idx="40">
                  <c:v>熊取町</c:v>
                </c:pt>
                <c:pt idx="41">
                  <c:v>田尻町</c:v>
                </c:pt>
                <c:pt idx="42">
                  <c:v>岬町</c:v>
                </c:pt>
              </c:strCache>
            </c:strRef>
          </c:cat>
          <c:val>
            <c:numRef>
              <c:f>'[H27肺がんグラフ.xlsx]府HP（陽性反応適中度）'!$H$2:$H$44</c:f>
              <c:numCache>
                <c:formatCode>0.0</c:formatCode>
                <c:ptCount val="43"/>
                <c:pt idx="0">
                  <c:v>25</c:v>
                </c:pt>
                <c:pt idx="1">
                  <c:v>22.727272727272727</c:v>
                </c:pt>
                <c:pt idx="2">
                  <c:v>16.666666666666664</c:v>
                </c:pt>
                <c:pt idx="3">
                  <c:v>12.5</c:v>
                </c:pt>
                <c:pt idx="4">
                  <c:v>8.3916083916083917</c:v>
                </c:pt>
                <c:pt idx="5">
                  <c:v>6.593406593406594</c:v>
                </c:pt>
                <c:pt idx="6">
                  <c:v>6.0606060606060606</c:v>
                </c:pt>
                <c:pt idx="7">
                  <c:v>5.5555555555555554</c:v>
                </c:pt>
                <c:pt idx="8">
                  <c:v>5</c:v>
                </c:pt>
                <c:pt idx="9">
                  <c:v>4.8192771084337354</c:v>
                </c:pt>
                <c:pt idx="10">
                  <c:v>4.3478260869565215</c:v>
                </c:pt>
                <c:pt idx="11">
                  <c:v>4.0609137055837561</c:v>
                </c:pt>
                <c:pt idx="12">
                  <c:v>4.0540540540540544</c:v>
                </c:pt>
                <c:pt idx="13">
                  <c:v>3.9473684210526314</c:v>
                </c:pt>
                <c:pt idx="14">
                  <c:v>3.8461538461538463</c:v>
                </c:pt>
                <c:pt idx="15">
                  <c:v>3.8461538461538463</c:v>
                </c:pt>
                <c:pt idx="16">
                  <c:v>3.6363636363636362</c:v>
                </c:pt>
                <c:pt idx="17">
                  <c:v>3.5294117647058822</c:v>
                </c:pt>
                <c:pt idx="18">
                  <c:v>3.0769230769230771</c:v>
                </c:pt>
                <c:pt idx="19">
                  <c:v>2.7777777777777777</c:v>
                </c:pt>
                <c:pt idx="20">
                  <c:v>2.7434842249657065</c:v>
                </c:pt>
                <c:pt idx="21">
                  <c:v>2.6315789473684208</c:v>
                </c:pt>
                <c:pt idx="22">
                  <c:v>2.3287671232876712</c:v>
                </c:pt>
                <c:pt idx="23">
                  <c:v>2.2727272727272729</c:v>
                </c:pt>
                <c:pt idx="24">
                  <c:v>2.112676056338028</c:v>
                </c:pt>
                <c:pt idx="25">
                  <c:v>1.6129032258064515</c:v>
                </c:pt>
                <c:pt idx="26">
                  <c:v>1.5</c:v>
                </c:pt>
                <c:pt idx="27">
                  <c:v>1.4124293785310735</c:v>
                </c:pt>
                <c:pt idx="28">
                  <c:v>0.85470085470085477</c:v>
                </c:pt>
                <c:pt idx="29">
                  <c:v>0.72463768115942029</c:v>
                </c:pt>
                <c:pt idx="30">
                  <c:v>0</c:v>
                </c:pt>
                <c:pt idx="31">
                  <c:v>0</c:v>
                </c:pt>
                <c:pt idx="32">
                  <c:v>0</c:v>
                </c:pt>
                <c:pt idx="33">
                  <c:v>0</c:v>
                </c:pt>
                <c:pt idx="34">
                  <c:v>0</c:v>
                </c:pt>
                <c:pt idx="35">
                  <c:v>0</c:v>
                </c:pt>
                <c:pt idx="36">
                  <c:v>0</c:v>
                </c:pt>
                <c:pt idx="37">
                  <c:v>0</c:v>
                </c:pt>
                <c:pt idx="38">
                  <c:v>0</c:v>
                </c:pt>
                <c:pt idx="39">
                  <c:v>0</c:v>
                </c:pt>
                <c:pt idx="40">
                  <c:v>0</c:v>
                </c:pt>
                <c:pt idx="41">
                  <c:v>0</c:v>
                </c:pt>
                <c:pt idx="42">
                  <c:v>0</c:v>
                </c:pt>
              </c:numCache>
            </c:numRef>
          </c:val>
        </c:ser>
        <c:dLbls>
          <c:showLegendKey val="0"/>
          <c:showVal val="0"/>
          <c:showCatName val="0"/>
          <c:showSerName val="0"/>
          <c:showPercent val="0"/>
          <c:showBubbleSize val="0"/>
        </c:dLbls>
        <c:gapWidth val="150"/>
        <c:axId val="174016000"/>
        <c:axId val="174017536"/>
      </c:barChart>
      <c:lineChart>
        <c:grouping val="standard"/>
        <c:varyColors val="0"/>
        <c:ser>
          <c:idx val="1"/>
          <c:order val="1"/>
          <c:tx>
            <c:strRef>
              <c:f>'[H27肺がんグラフ.xlsx]府HP（陽性反応適中度）'!$I$1</c:f>
              <c:strCache>
                <c:ptCount val="1"/>
                <c:pt idx="0">
                  <c:v>大阪府平均</c:v>
                </c:pt>
              </c:strCache>
            </c:strRef>
          </c:tx>
          <c:spPr>
            <a:ln w="19050">
              <a:solidFill>
                <a:sysClr val="windowText" lastClr="000000"/>
              </a:solidFill>
            </a:ln>
          </c:spPr>
          <c:marker>
            <c:symbol val="none"/>
          </c:marker>
          <c:cat>
            <c:strRef>
              <c:f>'[H27肺がんグラフ.xlsx]府HP（陽性反応適中度）'!$G$2:$G$44</c:f>
              <c:strCache>
                <c:ptCount val="43"/>
                <c:pt idx="0">
                  <c:v>千早赤阪村</c:v>
                </c:pt>
                <c:pt idx="1">
                  <c:v>八尾市</c:v>
                </c:pt>
                <c:pt idx="2">
                  <c:v>島本町</c:v>
                </c:pt>
                <c:pt idx="3">
                  <c:v>太子町</c:v>
                </c:pt>
                <c:pt idx="4">
                  <c:v>箕面市</c:v>
                </c:pt>
                <c:pt idx="5">
                  <c:v>松原市</c:v>
                </c:pt>
                <c:pt idx="6">
                  <c:v>泉南市</c:v>
                </c:pt>
                <c:pt idx="7">
                  <c:v>豊能町</c:v>
                </c:pt>
                <c:pt idx="8">
                  <c:v>泉佐野市</c:v>
                </c:pt>
                <c:pt idx="9">
                  <c:v>岸和田市</c:v>
                </c:pt>
                <c:pt idx="10">
                  <c:v>貝塚市</c:v>
                </c:pt>
                <c:pt idx="11">
                  <c:v>守口市</c:v>
                </c:pt>
                <c:pt idx="12">
                  <c:v>東大阪市</c:v>
                </c:pt>
                <c:pt idx="13">
                  <c:v>摂津市</c:v>
                </c:pt>
                <c:pt idx="14">
                  <c:v>枚方市</c:v>
                </c:pt>
                <c:pt idx="15">
                  <c:v>高石市</c:v>
                </c:pt>
                <c:pt idx="16">
                  <c:v>河内長野市</c:v>
                </c:pt>
                <c:pt idx="17">
                  <c:v>茨木市</c:v>
                </c:pt>
                <c:pt idx="18">
                  <c:v>交野市</c:v>
                </c:pt>
                <c:pt idx="19">
                  <c:v>阪南市</c:v>
                </c:pt>
                <c:pt idx="20">
                  <c:v>高槻市</c:v>
                </c:pt>
                <c:pt idx="21">
                  <c:v>藤井寺市</c:v>
                </c:pt>
                <c:pt idx="22">
                  <c:v>大阪市</c:v>
                </c:pt>
                <c:pt idx="23">
                  <c:v>堺市</c:v>
                </c:pt>
                <c:pt idx="24">
                  <c:v>門真市</c:v>
                </c:pt>
                <c:pt idx="25">
                  <c:v>大東市</c:v>
                </c:pt>
                <c:pt idx="26">
                  <c:v>和泉市</c:v>
                </c:pt>
                <c:pt idx="27">
                  <c:v>吹田市</c:v>
                </c:pt>
                <c:pt idx="28">
                  <c:v>寝屋川市</c:v>
                </c:pt>
                <c:pt idx="29">
                  <c:v>豊中市</c:v>
                </c:pt>
                <c:pt idx="30">
                  <c:v>池田市</c:v>
                </c:pt>
                <c:pt idx="31">
                  <c:v>能勢町</c:v>
                </c:pt>
                <c:pt idx="32">
                  <c:v>四條畷市</c:v>
                </c:pt>
                <c:pt idx="33">
                  <c:v>柏原市</c:v>
                </c:pt>
                <c:pt idx="34">
                  <c:v>羽曳野市</c:v>
                </c:pt>
                <c:pt idx="35">
                  <c:v>大阪狭山市</c:v>
                </c:pt>
                <c:pt idx="36">
                  <c:v>富田林市</c:v>
                </c:pt>
                <c:pt idx="37">
                  <c:v>河南町</c:v>
                </c:pt>
                <c:pt idx="38">
                  <c:v>泉大津市</c:v>
                </c:pt>
                <c:pt idx="39">
                  <c:v>忠岡町</c:v>
                </c:pt>
                <c:pt idx="40">
                  <c:v>熊取町</c:v>
                </c:pt>
                <c:pt idx="41">
                  <c:v>田尻町</c:v>
                </c:pt>
                <c:pt idx="42">
                  <c:v>岬町</c:v>
                </c:pt>
              </c:strCache>
            </c:strRef>
          </c:cat>
          <c:val>
            <c:numRef>
              <c:f>'[H27肺がんグラフ.xlsx]府HP（陽性反応適中度）'!$I$2:$I$44</c:f>
              <c:numCache>
                <c:formatCode>0.0</c:formatCode>
                <c:ptCount val="43"/>
                <c:pt idx="0">
                  <c:v>2.9752704791344669</c:v>
                </c:pt>
                <c:pt idx="1">
                  <c:v>2.9752704791344669</c:v>
                </c:pt>
                <c:pt idx="2">
                  <c:v>2.9752704791344669</c:v>
                </c:pt>
                <c:pt idx="3">
                  <c:v>2.9752704791344669</c:v>
                </c:pt>
                <c:pt idx="4">
                  <c:v>2.9752704791344669</c:v>
                </c:pt>
                <c:pt idx="5">
                  <c:v>2.9752704791344669</c:v>
                </c:pt>
                <c:pt idx="6">
                  <c:v>2.9752704791344669</c:v>
                </c:pt>
                <c:pt idx="7">
                  <c:v>2.9752704791344669</c:v>
                </c:pt>
                <c:pt idx="8">
                  <c:v>2.9752704791344669</c:v>
                </c:pt>
                <c:pt idx="9">
                  <c:v>2.9752704791344669</c:v>
                </c:pt>
                <c:pt idx="10">
                  <c:v>2.9752704791344669</c:v>
                </c:pt>
                <c:pt idx="11">
                  <c:v>2.9752704791344669</c:v>
                </c:pt>
                <c:pt idx="12">
                  <c:v>2.9752704791344669</c:v>
                </c:pt>
                <c:pt idx="13">
                  <c:v>2.9752704791344669</c:v>
                </c:pt>
                <c:pt idx="14">
                  <c:v>2.9752704791344669</c:v>
                </c:pt>
                <c:pt idx="15">
                  <c:v>2.9752704791344669</c:v>
                </c:pt>
                <c:pt idx="16">
                  <c:v>2.9752704791344669</c:v>
                </c:pt>
                <c:pt idx="17">
                  <c:v>2.9752704791344669</c:v>
                </c:pt>
                <c:pt idx="18">
                  <c:v>2.9752704791344669</c:v>
                </c:pt>
                <c:pt idx="19">
                  <c:v>2.9752704791344669</c:v>
                </c:pt>
                <c:pt idx="20">
                  <c:v>2.9752704791344669</c:v>
                </c:pt>
                <c:pt idx="21">
                  <c:v>2.9752704791344669</c:v>
                </c:pt>
                <c:pt idx="22">
                  <c:v>2.9752704791344669</c:v>
                </c:pt>
                <c:pt idx="23">
                  <c:v>2.9752704791344669</c:v>
                </c:pt>
                <c:pt idx="24">
                  <c:v>2.9752704791344669</c:v>
                </c:pt>
                <c:pt idx="25">
                  <c:v>2.9752704791344669</c:v>
                </c:pt>
                <c:pt idx="26">
                  <c:v>2.9752704791344669</c:v>
                </c:pt>
                <c:pt idx="27">
                  <c:v>2.9752704791344669</c:v>
                </c:pt>
                <c:pt idx="28">
                  <c:v>2.9752704791344669</c:v>
                </c:pt>
                <c:pt idx="29">
                  <c:v>2.9752704791344669</c:v>
                </c:pt>
                <c:pt idx="30">
                  <c:v>2.9752704791344669</c:v>
                </c:pt>
                <c:pt idx="31">
                  <c:v>2.9752704791344669</c:v>
                </c:pt>
                <c:pt idx="32">
                  <c:v>2.9752704791344669</c:v>
                </c:pt>
                <c:pt idx="33">
                  <c:v>2.9752704791344669</c:v>
                </c:pt>
                <c:pt idx="34">
                  <c:v>2.9752704791344669</c:v>
                </c:pt>
                <c:pt idx="35">
                  <c:v>2.9752704791344669</c:v>
                </c:pt>
                <c:pt idx="36">
                  <c:v>2.9752704791344669</c:v>
                </c:pt>
                <c:pt idx="37">
                  <c:v>2.9752704791344669</c:v>
                </c:pt>
                <c:pt idx="38">
                  <c:v>2.9752704791344669</c:v>
                </c:pt>
                <c:pt idx="39">
                  <c:v>2.9752704791344669</c:v>
                </c:pt>
                <c:pt idx="40">
                  <c:v>2.9752704791344669</c:v>
                </c:pt>
                <c:pt idx="41">
                  <c:v>2.9752704791344669</c:v>
                </c:pt>
                <c:pt idx="42">
                  <c:v>2.9752704791344669</c:v>
                </c:pt>
              </c:numCache>
            </c:numRef>
          </c:val>
          <c:smooth val="0"/>
        </c:ser>
        <c:ser>
          <c:idx val="2"/>
          <c:order val="2"/>
          <c:tx>
            <c:strRef>
              <c:f>'[H27肺がんグラフ.xlsx]府HP（陽性反応適中度）'!$J$1</c:f>
              <c:strCache>
                <c:ptCount val="1"/>
                <c:pt idx="0">
                  <c:v>許容値</c:v>
                </c:pt>
              </c:strCache>
            </c:strRef>
          </c:tx>
          <c:spPr>
            <a:ln w="22225" cmpd="thinThick">
              <a:prstDash val="sysDot"/>
              <a:round/>
            </a:ln>
          </c:spPr>
          <c:marker>
            <c:symbol val="none"/>
          </c:marker>
          <c:cat>
            <c:strRef>
              <c:f>'[H27肺がんグラフ.xlsx]府HP（陽性反応適中度）'!$G$2:$G$44</c:f>
              <c:strCache>
                <c:ptCount val="43"/>
                <c:pt idx="0">
                  <c:v>千早赤阪村</c:v>
                </c:pt>
                <c:pt idx="1">
                  <c:v>八尾市</c:v>
                </c:pt>
                <c:pt idx="2">
                  <c:v>島本町</c:v>
                </c:pt>
                <c:pt idx="3">
                  <c:v>太子町</c:v>
                </c:pt>
                <c:pt idx="4">
                  <c:v>箕面市</c:v>
                </c:pt>
                <c:pt idx="5">
                  <c:v>松原市</c:v>
                </c:pt>
                <c:pt idx="6">
                  <c:v>泉南市</c:v>
                </c:pt>
                <c:pt idx="7">
                  <c:v>豊能町</c:v>
                </c:pt>
                <c:pt idx="8">
                  <c:v>泉佐野市</c:v>
                </c:pt>
                <c:pt idx="9">
                  <c:v>岸和田市</c:v>
                </c:pt>
                <c:pt idx="10">
                  <c:v>貝塚市</c:v>
                </c:pt>
                <c:pt idx="11">
                  <c:v>守口市</c:v>
                </c:pt>
                <c:pt idx="12">
                  <c:v>東大阪市</c:v>
                </c:pt>
                <c:pt idx="13">
                  <c:v>摂津市</c:v>
                </c:pt>
                <c:pt idx="14">
                  <c:v>枚方市</c:v>
                </c:pt>
                <c:pt idx="15">
                  <c:v>高石市</c:v>
                </c:pt>
                <c:pt idx="16">
                  <c:v>河内長野市</c:v>
                </c:pt>
                <c:pt idx="17">
                  <c:v>茨木市</c:v>
                </c:pt>
                <c:pt idx="18">
                  <c:v>交野市</c:v>
                </c:pt>
                <c:pt idx="19">
                  <c:v>阪南市</c:v>
                </c:pt>
                <c:pt idx="20">
                  <c:v>高槻市</c:v>
                </c:pt>
                <c:pt idx="21">
                  <c:v>藤井寺市</c:v>
                </c:pt>
                <c:pt idx="22">
                  <c:v>大阪市</c:v>
                </c:pt>
                <c:pt idx="23">
                  <c:v>堺市</c:v>
                </c:pt>
                <c:pt idx="24">
                  <c:v>門真市</c:v>
                </c:pt>
                <c:pt idx="25">
                  <c:v>大東市</c:v>
                </c:pt>
                <c:pt idx="26">
                  <c:v>和泉市</c:v>
                </c:pt>
                <c:pt idx="27">
                  <c:v>吹田市</c:v>
                </c:pt>
                <c:pt idx="28">
                  <c:v>寝屋川市</c:v>
                </c:pt>
                <c:pt idx="29">
                  <c:v>豊中市</c:v>
                </c:pt>
                <c:pt idx="30">
                  <c:v>池田市</c:v>
                </c:pt>
                <c:pt idx="31">
                  <c:v>能勢町</c:v>
                </c:pt>
                <c:pt idx="32">
                  <c:v>四條畷市</c:v>
                </c:pt>
                <c:pt idx="33">
                  <c:v>柏原市</c:v>
                </c:pt>
                <c:pt idx="34">
                  <c:v>羽曳野市</c:v>
                </c:pt>
                <c:pt idx="35">
                  <c:v>大阪狭山市</c:v>
                </c:pt>
                <c:pt idx="36">
                  <c:v>富田林市</c:v>
                </c:pt>
                <c:pt idx="37">
                  <c:v>河南町</c:v>
                </c:pt>
                <c:pt idx="38">
                  <c:v>泉大津市</c:v>
                </c:pt>
                <c:pt idx="39">
                  <c:v>忠岡町</c:v>
                </c:pt>
                <c:pt idx="40">
                  <c:v>熊取町</c:v>
                </c:pt>
                <c:pt idx="41">
                  <c:v>田尻町</c:v>
                </c:pt>
                <c:pt idx="42">
                  <c:v>岬町</c:v>
                </c:pt>
              </c:strCache>
            </c:strRef>
          </c:cat>
          <c:val>
            <c:numRef>
              <c:f>'[H27肺がんグラフ.xlsx]府HP（陽性反応適中度）'!$J$2:$J$44</c:f>
              <c:numCache>
                <c:formatCode>General</c:formatCode>
                <c:ptCount val="43"/>
                <c:pt idx="0">
                  <c:v>1.3</c:v>
                </c:pt>
                <c:pt idx="1">
                  <c:v>1.3</c:v>
                </c:pt>
                <c:pt idx="2">
                  <c:v>1.3</c:v>
                </c:pt>
                <c:pt idx="3">
                  <c:v>1.3</c:v>
                </c:pt>
                <c:pt idx="4">
                  <c:v>1.3</c:v>
                </c:pt>
                <c:pt idx="5">
                  <c:v>1.3</c:v>
                </c:pt>
                <c:pt idx="6">
                  <c:v>1.3</c:v>
                </c:pt>
                <c:pt idx="7">
                  <c:v>1.3</c:v>
                </c:pt>
                <c:pt idx="8">
                  <c:v>1.3</c:v>
                </c:pt>
                <c:pt idx="9">
                  <c:v>1.3</c:v>
                </c:pt>
                <c:pt idx="10">
                  <c:v>1.3</c:v>
                </c:pt>
                <c:pt idx="11">
                  <c:v>1.3</c:v>
                </c:pt>
                <c:pt idx="12">
                  <c:v>1.3</c:v>
                </c:pt>
                <c:pt idx="13">
                  <c:v>1.3</c:v>
                </c:pt>
                <c:pt idx="14">
                  <c:v>1.3</c:v>
                </c:pt>
                <c:pt idx="15">
                  <c:v>1.3</c:v>
                </c:pt>
                <c:pt idx="16">
                  <c:v>1.3</c:v>
                </c:pt>
                <c:pt idx="17">
                  <c:v>1.3</c:v>
                </c:pt>
                <c:pt idx="18">
                  <c:v>1.3</c:v>
                </c:pt>
                <c:pt idx="19">
                  <c:v>1.3</c:v>
                </c:pt>
                <c:pt idx="20">
                  <c:v>1.3</c:v>
                </c:pt>
                <c:pt idx="21">
                  <c:v>1.3</c:v>
                </c:pt>
                <c:pt idx="22">
                  <c:v>1.3</c:v>
                </c:pt>
                <c:pt idx="23">
                  <c:v>1.3</c:v>
                </c:pt>
                <c:pt idx="24">
                  <c:v>1.3</c:v>
                </c:pt>
                <c:pt idx="25">
                  <c:v>1.3</c:v>
                </c:pt>
                <c:pt idx="26">
                  <c:v>1.3</c:v>
                </c:pt>
                <c:pt idx="27">
                  <c:v>1.3</c:v>
                </c:pt>
                <c:pt idx="28">
                  <c:v>1.3</c:v>
                </c:pt>
                <c:pt idx="29">
                  <c:v>1.3</c:v>
                </c:pt>
                <c:pt idx="30">
                  <c:v>1.3</c:v>
                </c:pt>
                <c:pt idx="31">
                  <c:v>1.3</c:v>
                </c:pt>
                <c:pt idx="32">
                  <c:v>1.3</c:v>
                </c:pt>
                <c:pt idx="33">
                  <c:v>1.3</c:v>
                </c:pt>
                <c:pt idx="34">
                  <c:v>1.3</c:v>
                </c:pt>
                <c:pt idx="35">
                  <c:v>1.3</c:v>
                </c:pt>
                <c:pt idx="36">
                  <c:v>1.3</c:v>
                </c:pt>
                <c:pt idx="37">
                  <c:v>1.3</c:v>
                </c:pt>
                <c:pt idx="38">
                  <c:v>1.3</c:v>
                </c:pt>
                <c:pt idx="39">
                  <c:v>1.3</c:v>
                </c:pt>
                <c:pt idx="40">
                  <c:v>1.3</c:v>
                </c:pt>
                <c:pt idx="41">
                  <c:v>1.3</c:v>
                </c:pt>
                <c:pt idx="42">
                  <c:v>1.3</c:v>
                </c:pt>
              </c:numCache>
            </c:numRef>
          </c:val>
          <c:smooth val="1"/>
        </c:ser>
        <c:dLbls>
          <c:showLegendKey val="0"/>
          <c:showVal val="0"/>
          <c:showCatName val="0"/>
          <c:showSerName val="0"/>
          <c:showPercent val="0"/>
          <c:showBubbleSize val="0"/>
        </c:dLbls>
        <c:marker val="1"/>
        <c:smooth val="0"/>
        <c:axId val="174016000"/>
        <c:axId val="174017536"/>
      </c:lineChart>
      <c:catAx>
        <c:axId val="174016000"/>
        <c:scaling>
          <c:orientation val="minMax"/>
        </c:scaling>
        <c:delete val="0"/>
        <c:axPos val="b"/>
        <c:numFmt formatCode="General" sourceLinked="0"/>
        <c:majorTickMark val="out"/>
        <c:minorTickMark val="none"/>
        <c:tickLblPos val="nextTo"/>
        <c:txPr>
          <a:bodyPr rot="0" vert="eaVert"/>
          <a:lstStyle/>
          <a:p>
            <a:pPr>
              <a:defRPr sz="700"/>
            </a:pPr>
            <a:endParaRPr lang="ja-JP"/>
          </a:p>
        </c:txPr>
        <c:crossAx val="174017536"/>
        <c:crosses val="autoZero"/>
        <c:auto val="1"/>
        <c:lblAlgn val="ctr"/>
        <c:lblOffset val="100"/>
        <c:noMultiLvlLbl val="0"/>
      </c:catAx>
      <c:valAx>
        <c:axId val="174017536"/>
        <c:scaling>
          <c:orientation val="minMax"/>
        </c:scaling>
        <c:delete val="0"/>
        <c:axPos val="l"/>
        <c:numFmt formatCode="#,##0.0_ " sourceLinked="0"/>
        <c:majorTickMark val="out"/>
        <c:minorTickMark val="none"/>
        <c:tickLblPos val="nextTo"/>
        <c:crossAx val="174016000"/>
        <c:crosses val="autoZero"/>
        <c:crossBetween val="between"/>
      </c:valAx>
      <c:spPr>
        <a:solidFill>
          <a:sysClr val="window" lastClr="FFFFFF">
            <a:lumMod val="85000"/>
          </a:sysClr>
        </a:solidFill>
        <a:ln>
          <a:solidFill>
            <a:schemeClr val="tx1"/>
          </a:solidFill>
        </a:ln>
      </c:spPr>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0.65575</cdr:x>
      <cdr:y>0.53867</cdr:y>
    </cdr:from>
    <cdr:to>
      <cdr:x>0.95701</cdr:x>
      <cdr:y>0.67764</cdr:y>
    </cdr:to>
    <cdr:sp macro="" textlink="">
      <cdr:nvSpPr>
        <cdr:cNvPr id="2" name="テキスト ボックス 2"/>
        <cdr:cNvSpPr txBox="1"/>
      </cdr:nvSpPr>
      <cdr:spPr>
        <a:xfrm xmlns:a="http://schemas.openxmlformats.org/drawingml/2006/main">
          <a:off x="3777119" y="1546225"/>
          <a:ext cx="1735231" cy="398929"/>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r>
            <a:rPr kumimoji="1" lang="ja-JP" altLang="en-US" sz="900">
              <a:solidFill>
                <a:sysClr val="windowText" lastClr="000000"/>
              </a:solidFill>
            </a:rPr>
            <a:t>大阪府平均　　</a:t>
          </a:r>
          <a:r>
            <a:rPr kumimoji="1" lang="en-US" altLang="ja-JP" sz="900">
              <a:solidFill>
                <a:sysClr val="windowText" lastClr="000000"/>
              </a:solidFill>
            </a:rPr>
            <a:t>3.0</a:t>
          </a:r>
        </a:p>
      </cdr:txBody>
    </cdr:sp>
  </cdr:relSizeAnchor>
  <cdr:relSizeAnchor xmlns:cdr="http://schemas.openxmlformats.org/drawingml/2006/chartDrawing">
    <cdr:from>
      <cdr:x>0.66071</cdr:x>
      <cdr:y>0.60371</cdr:y>
    </cdr:from>
    <cdr:to>
      <cdr:x>0.96197</cdr:x>
      <cdr:y>0.74269</cdr:y>
    </cdr:to>
    <cdr:sp macro="" textlink="">
      <cdr:nvSpPr>
        <cdr:cNvPr id="3" name="テキスト ボックス 3"/>
        <cdr:cNvSpPr txBox="1"/>
      </cdr:nvSpPr>
      <cdr:spPr>
        <a:xfrm xmlns:a="http://schemas.openxmlformats.org/drawingml/2006/main">
          <a:off x="3805694" y="1732932"/>
          <a:ext cx="1735231" cy="39893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r>
            <a:rPr kumimoji="1" lang="ja-JP" altLang="en-US" sz="900">
              <a:solidFill>
                <a:sysClr val="windowText" lastClr="000000"/>
              </a:solidFill>
            </a:rPr>
            <a:t>許容値　　</a:t>
          </a:r>
          <a:r>
            <a:rPr kumimoji="1" lang="en-US" altLang="ja-JP" sz="900">
              <a:solidFill>
                <a:sysClr val="windowText" lastClr="000000"/>
              </a:solidFill>
            </a:rPr>
            <a:t>1.3</a:t>
          </a:r>
          <a:r>
            <a:rPr kumimoji="1" lang="ja-JP" altLang="en-US" sz="900">
              <a:solidFill>
                <a:sysClr val="windowText" lastClr="000000"/>
              </a:solidFill>
            </a:rPr>
            <a:t>以上</a:t>
          </a:r>
          <a:endParaRPr kumimoji="1" lang="en-US" altLang="ja-JP" sz="900">
            <a:solidFill>
              <a:sysClr val="windowText" lastClr="000000"/>
            </a:solidFill>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62DB8-5669-4DFF-A5A3-24B07F781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5</Pages>
  <Words>279</Words>
  <Characters>1595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2016-05-02T06:29:00Z</dcterms:created>
  <dcterms:modified xsi:type="dcterms:W3CDTF">2018-05-31T04:55:00Z</dcterms:modified>
</cp:coreProperties>
</file>