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3120"/>
        <w:gridCol w:w="9480"/>
      </w:tblGrid>
      <w:tr w:rsidR="00F0040E" w:rsidRPr="00F0040E" w:rsidTr="00F0040E">
        <w:trPr>
          <w:trHeight w:val="572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7B524" wp14:editId="2484520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-581660</wp:posOffset>
                      </wp:positionV>
                      <wp:extent cx="9899015" cy="531495"/>
                      <wp:effectExtent l="0" t="0" r="0" b="1905"/>
                      <wp:wrapNone/>
                      <wp:docPr id="6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9015" cy="531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040E" w:rsidRDefault="00F0040E" w:rsidP="00F0040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color w:val="000000"/>
                                      <w:kern w:val="24"/>
                                      <w:sz w:val="29"/>
                                      <w:szCs w:val="29"/>
                                    </w:rPr>
                                    <w:t>大阪府ギャンブル等依存症対策推進計画における取組み【令和２年度】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7B524" id="正方形/長方形 5" o:spid="_x0000_s1026" style="position:absolute;left:0;text-align:left;margin-left:-2.55pt;margin-top:-45.8pt;width:779.4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" filled="f" stroked="f" strokeweight="1pt">
                      <v:textbox>
                        <w:txbxContent>
                          <w:p w:rsidR="00F0040E" w:rsidRDefault="00F0040E" w:rsidP="00F0040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9"/>
                                <w:szCs w:val="29"/>
                              </w:rPr>
                              <w:t>大阪府ギャンブル等依存症対策推進計画における取組み【令和２年度】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040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6"/>
                <w:szCs w:val="26"/>
                <w:eastAsianLayout w:id="-1680537344"/>
              </w:rPr>
              <w:t>基本方針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6"/>
                <w:szCs w:val="26"/>
                <w:eastAsianLayout w:id="-1680537343"/>
              </w:rPr>
              <w:t>重点施策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F5FEB" wp14:editId="3B88F023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-471170</wp:posOffset>
                      </wp:positionV>
                      <wp:extent cx="1086485" cy="307340"/>
                      <wp:effectExtent l="0" t="0" r="18415" b="16510"/>
                      <wp:wrapNone/>
                      <wp:docPr id="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485" cy="3073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40E" w:rsidRPr="00F0040E" w:rsidRDefault="00F0040E" w:rsidP="00F0040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bookmarkStart w:id="0" w:name="_GoBack"/>
                                  <w:r w:rsidRPr="00F0040E">
                                    <w:rPr>
                                      <w:rFonts w:cstheme="minorBidi" w:hint="eastAsia"/>
                                      <w:color w:val="000000" w:themeColor="dark1"/>
                                      <w:kern w:val="24"/>
                                      <w:sz w:val="22"/>
                                      <w:szCs w:val="28"/>
                                      <w:eastAsianLayout w:id="-1680537600"/>
                                    </w:rPr>
                                    <w:t>資料１－１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F5F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92.65pt;margin-top:-37.1pt;width:85.5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" fillcolor="white [3201]" strokecolor="black [3200]" strokeweight="1pt">
                      <v:textbox style="mso-fit-shape-to-text:t">
                        <w:txbxContent>
                          <w:p w:rsidR="00F0040E" w:rsidRPr="00F0040E" w:rsidRDefault="00F0040E" w:rsidP="00F004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bookmarkStart w:id="1" w:name="_GoBack"/>
                            <w:r w:rsidRPr="00F0040E"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22"/>
                                <w:szCs w:val="28"/>
                                <w:eastAsianLayout w:id="-1680537600"/>
                              </w:rPr>
                              <w:t>資料１－１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040E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6"/>
                <w:szCs w:val="26"/>
                <w:eastAsianLayout w:id="-1680537342"/>
              </w:rPr>
              <w:t>令和２年度の主な取組み（実績）</w:t>
            </w:r>
          </w:p>
        </w:tc>
      </w:tr>
      <w:tr w:rsidR="00F0040E" w:rsidRPr="00F0040E" w:rsidTr="00F0040E">
        <w:trPr>
          <w:trHeight w:val="893"/>
        </w:trPr>
        <w:tc>
          <w:tcPr>
            <w:tcW w:w="2540" w:type="dxa"/>
            <w:vMerge w:val="restart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7341"/>
              </w:rPr>
              <w:t>Ⅰ</w:t>
            </w:r>
            <w:r w:rsidRPr="00F0040E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41"/>
              </w:rPr>
              <w:t>.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40"/>
              </w:rPr>
              <w:t>普及啓発の強化</w:t>
            </w:r>
          </w:p>
        </w:tc>
        <w:tc>
          <w:tcPr>
            <w:tcW w:w="312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7339"/>
              </w:rPr>
              <w:t>①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39"/>
              </w:rPr>
              <w:t>若年層を中心とした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38"/>
              </w:rPr>
              <w:t xml:space="preserve">　予防啓発の充実</w:t>
            </w:r>
          </w:p>
        </w:tc>
        <w:tc>
          <w:tcPr>
            <w:tcW w:w="948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7"/>
              </w:rPr>
              <w:t>・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7336"/>
              </w:rPr>
              <w:t xml:space="preserve"> 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5"/>
              </w:rPr>
              <w:t>予防啓発のためのツールの作成、出前授業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4"/>
              </w:rPr>
              <w:t>・ 高校生向けリーフレットの配布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3"/>
              </w:rPr>
              <w:t>・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7332"/>
              </w:rPr>
              <w:t xml:space="preserve"> 教員向け（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7331"/>
              </w:rPr>
              <w:t>WEB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0"/>
              </w:rPr>
              <w:t xml:space="preserve">）、青少年指導員向け（書面）、産業保健担当者　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29"/>
              </w:rPr>
              <w:t xml:space="preserve">　等の研修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28"/>
              </w:rPr>
              <w:t xml:space="preserve">　　　　</w:t>
            </w:r>
          </w:p>
        </w:tc>
      </w:tr>
      <w:tr w:rsidR="00F0040E" w:rsidRPr="00F0040E" w:rsidTr="00F0040E">
        <w:trPr>
          <w:trHeight w:val="1016"/>
        </w:trPr>
        <w:tc>
          <w:tcPr>
            <w:tcW w:w="0" w:type="auto"/>
            <w:vMerge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7344"/>
              </w:rPr>
              <w:t>②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44"/>
              </w:rPr>
              <w:t>正しい知識の普及と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43"/>
              </w:rPr>
              <w:t xml:space="preserve">　理解の促進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42"/>
              </w:rPr>
              <w:t>・ 啓発週間における</w:t>
            </w:r>
            <w:r w:rsidRPr="00F0040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4"/>
                <w:szCs w:val="30"/>
                <w:eastAsianLayout w:id="-1680537341"/>
              </w:rPr>
              <w:t>啓発ポスター掲示、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40"/>
              </w:rPr>
              <w:t>府民向けセミナー（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7339"/>
              </w:rPr>
              <w:t>WEB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8"/>
              </w:rPr>
              <w:t xml:space="preserve">）　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7"/>
              </w:rPr>
              <w:t xml:space="preserve">・ 新成人向け啓発チラシの作成・配布　　</w:t>
            </w:r>
          </w:p>
        </w:tc>
      </w:tr>
      <w:tr w:rsidR="00F0040E" w:rsidRPr="00F0040E" w:rsidTr="00F0040E">
        <w:trPr>
          <w:trHeight w:val="1229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7336"/>
              </w:rPr>
              <w:t>Ⅱ</w:t>
            </w:r>
            <w:r w:rsidRPr="00F0040E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36"/>
              </w:rPr>
              <w:t>.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35"/>
              </w:rPr>
              <w:t>相談支援体制の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35"/>
              </w:rPr>
              <w:t xml:space="preserve"> 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34"/>
              </w:rPr>
              <w:t xml:space="preserve">  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33"/>
              </w:rPr>
              <w:t>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7332"/>
              </w:rPr>
              <w:t>③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32"/>
              </w:rPr>
              <w:t xml:space="preserve">依存症の本人及び家族へ　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31"/>
              </w:rPr>
              <w:t xml:space="preserve">　の相談支援の強化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0"/>
              </w:rPr>
              <w:t>・ 第２・４土曜日の依存症専門相談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29"/>
              </w:rPr>
              <w:t xml:space="preserve">・ 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28"/>
                <w:eastAsianLayout w:id="-1680537328"/>
              </w:rPr>
              <w:t>集団回復プログラム（本人）、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28"/>
                <w:eastAsianLayout w:id="-1680537344"/>
              </w:rPr>
              <w:t>サポートプログラム（家族）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28"/>
                <w:eastAsianLayout w:id="-1680537343"/>
              </w:rPr>
              <w:t>・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28"/>
                <w:eastAsianLayout w:id="-1680537342"/>
              </w:rPr>
              <w:t xml:space="preserve">  関係機関職員（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28"/>
                <w:eastAsianLayout w:id="-1680537341"/>
              </w:rPr>
              <w:t>WEB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28"/>
                <w:eastAsianLayout w:id="-1680537340"/>
              </w:rPr>
              <w:t>等）の研修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28"/>
                <w:eastAsianLayout w:id="-1680537339"/>
              </w:rPr>
              <w:t xml:space="preserve">　</w:t>
            </w:r>
          </w:p>
        </w:tc>
      </w:tr>
      <w:tr w:rsidR="00F0040E" w:rsidRPr="00F0040E" w:rsidTr="00F0040E">
        <w:trPr>
          <w:trHeight w:val="839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7338"/>
              </w:rPr>
              <w:t>Ⅲ</w:t>
            </w:r>
            <w:r w:rsidRPr="00F0040E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38"/>
              </w:rPr>
              <w:t>.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37"/>
              </w:rPr>
              <w:t>医療体制の強化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7336"/>
              </w:rPr>
              <w:t>④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36"/>
              </w:rPr>
              <w:t>依存症の治療が可能な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35"/>
              </w:rPr>
              <w:t xml:space="preserve">　医療機関の充実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4"/>
              </w:rPr>
              <w:t>・ 医療機関職員向け研修（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7333"/>
              </w:rPr>
              <w:t>WEB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2"/>
              </w:rPr>
              <w:t xml:space="preserve">）　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1"/>
              </w:rPr>
              <w:t>・ 認知行動療法プログラムの普及</w:t>
            </w:r>
          </w:p>
        </w:tc>
      </w:tr>
      <w:tr w:rsidR="00F0040E" w:rsidRPr="00F0040E" w:rsidTr="00F0040E">
        <w:trPr>
          <w:trHeight w:val="893"/>
        </w:trPr>
        <w:tc>
          <w:tcPr>
            <w:tcW w:w="2540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7330"/>
              </w:rPr>
              <w:t>Ⅳ</w:t>
            </w:r>
            <w:r w:rsidRPr="00F0040E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30"/>
              </w:rPr>
              <w:t>.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29"/>
              </w:rPr>
              <w:t>切れ目のない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28"/>
              </w:rPr>
              <w:t xml:space="preserve">  </w:t>
            </w:r>
            <w:r w:rsidRPr="00F0040E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28"/>
              </w:rPr>
              <w:t>回復支援体制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44"/>
              </w:rPr>
              <w:t xml:space="preserve">  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43"/>
              </w:rPr>
              <w:t>の強化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7342"/>
              </w:rPr>
              <w:t>⑤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42"/>
              </w:rPr>
              <w:t>自助グループ・民間団体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41"/>
              </w:rPr>
              <w:t xml:space="preserve">　の活動へ支援の充実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40"/>
              </w:rPr>
              <w:t>・早期介入・回復継続支援を実施する自助グループ・民間団体への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9"/>
              </w:rPr>
              <w:t xml:space="preserve">　補助 </w:t>
            </w:r>
          </w:p>
        </w:tc>
      </w:tr>
      <w:tr w:rsidR="00F0040E" w:rsidRPr="00F0040E" w:rsidTr="00F0040E">
        <w:trPr>
          <w:trHeight w:val="1242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7338"/>
              </w:rPr>
              <w:t>⑥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38"/>
              </w:rPr>
              <w:t xml:space="preserve">さまざまな機関と連携した　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37"/>
              </w:rPr>
              <w:t xml:space="preserve">　支援ネットワークの強化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6"/>
              </w:rPr>
              <w:t>・ 依存症関連機関連携会議・部会（対面・書面）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5"/>
              </w:rPr>
              <w:t>・ 大阪アディクションセンター（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7334"/>
              </w:rPr>
              <w:t>OAC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3"/>
              </w:rPr>
              <w:t>）での情報共有</w:t>
            </w:r>
          </w:p>
        </w:tc>
      </w:tr>
      <w:tr w:rsidR="00F0040E" w:rsidRPr="00F0040E" w:rsidTr="00F0040E">
        <w:trPr>
          <w:trHeight w:val="1460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7332"/>
              </w:rPr>
              <w:t>Ⅴ</w:t>
            </w:r>
            <w:r w:rsidRPr="00F0040E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32"/>
              </w:rPr>
              <w:t>.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31"/>
              </w:rPr>
              <w:t>大阪独自の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30"/>
              </w:rPr>
              <w:t xml:space="preserve">  </w:t>
            </w:r>
            <w:r w:rsidRPr="00F0040E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7330"/>
              </w:rPr>
              <w:t>支援体制の構築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7329"/>
              </w:rPr>
              <w:t>⑦</w:t>
            </w: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29"/>
              </w:rPr>
              <w:t>予防から相談、治療及び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7328"/>
              </w:rPr>
              <w:t xml:space="preserve">　回復支援体制の構築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44"/>
              </w:rPr>
              <w:t>・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43"/>
              </w:rPr>
              <w:t>依存症相談支援センターと依存症治療研究センターの連絡会の開催（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7342"/>
              </w:rPr>
              <w:t>WEB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41"/>
              </w:rPr>
              <w:t>）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40"/>
              </w:rPr>
              <w:t>・大阪依存症包括支援拠点（</w:t>
            </w:r>
            <w:r w:rsidRPr="00F0040E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7339"/>
              </w:rPr>
              <w:t>OATIS</w:t>
            </w: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8"/>
              </w:rPr>
              <w:t xml:space="preserve">）の設置、ホームページの整備　</w:t>
            </w:r>
          </w:p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7"/>
              </w:rPr>
              <w:t>・ギャンブル等依存症簡易相談支援アプリの制作</w:t>
            </w:r>
          </w:p>
        </w:tc>
      </w:tr>
      <w:tr w:rsidR="00F0040E" w:rsidRPr="00F0040E" w:rsidTr="00F0040E">
        <w:trPr>
          <w:trHeight w:val="475"/>
        </w:trPr>
        <w:tc>
          <w:tcPr>
            <w:tcW w:w="5660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0040E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7336"/>
              </w:rPr>
              <w:t>調　査　・　研　究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F0040E" w:rsidRPr="00F0040E" w:rsidRDefault="00F0040E" w:rsidP="00F0040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F0040E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7335"/>
              </w:rPr>
              <w:t>・ギャンブル等依存症に関する実態調査</w:t>
            </w:r>
          </w:p>
        </w:tc>
      </w:tr>
      <w:tr w:rsidR="00E465BC" w:rsidRPr="00E465BC" w:rsidTr="00E465BC">
        <w:trPr>
          <w:trHeight w:val="572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D4E7FF" wp14:editId="0A9E9722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-522605</wp:posOffset>
                      </wp:positionV>
                      <wp:extent cx="9899015" cy="455295"/>
                      <wp:effectExtent l="0" t="0" r="0" b="1905"/>
                      <wp:wrapNone/>
                      <wp:docPr id="3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9015" cy="4552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040E" w:rsidRDefault="00F0040E" w:rsidP="00F0040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color w:val="000000"/>
                                      <w:kern w:val="24"/>
                                      <w:sz w:val="29"/>
                                      <w:szCs w:val="29"/>
                                    </w:rPr>
                                    <w:t>大阪府ギャンブル等依存症対策推進計画における取組み【令和３年度】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4E7FF" id="_x0000_s1028" style="position:absolute;left:0;text-align:left;margin-left:-12.35pt;margin-top:-41.15pt;width:779.4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" filled="f" stroked="f" strokeweight="1pt">
                      <v:textbox>
                        <w:txbxContent>
                          <w:p w:rsidR="00F0040E" w:rsidRDefault="00F0040E" w:rsidP="00F0040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  <w:kern w:val="24"/>
                                <w:sz w:val="29"/>
                                <w:szCs w:val="29"/>
                              </w:rPr>
                              <w:t>大阪府ギャンブル等依存症対策推進計画における取組み【令和３年度】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65BC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6"/>
                <w:szCs w:val="26"/>
                <w:eastAsianLayout w:id="-1680536832"/>
              </w:rPr>
              <w:t>基本方針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6"/>
                <w:szCs w:val="26"/>
                <w:eastAsianLayout w:id="-1680536831"/>
              </w:rPr>
              <w:t>重点施策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1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b/>
                <w:bCs/>
                <w:color w:val="000000" w:themeColor="text1"/>
                <w:kern w:val="24"/>
                <w:sz w:val="26"/>
                <w:szCs w:val="26"/>
                <w:eastAsianLayout w:id="-1680536830"/>
              </w:rPr>
              <w:t>令和３年度の主な取組み（予定含む）</w:t>
            </w:r>
          </w:p>
        </w:tc>
      </w:tr>
      <w:tr w:rsidR="00E465BC" w:rsidRPr="00E465BC" w:rsidTr="00E465BC">
        <w:trPr>
          <w:trHeight w:val="893"/>
        </w:trPr>
        <w:tc>
          <w:tcPr>
            <w:tcW w:w="2540" w:type="dxa"/>
            <w:vMerge w:val="restart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6829"/>
              </w:rPr>
              <w:t>Ⅰ</w:t>
            </w:r>
            <w:r w:rsidRPr="00E465BC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9"/>
              </w:rPr>
              <w:t>.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28"/>
              </w:rPr>
              <w:t>普及啓発の強化</w:t>
            </w:r>
          </w:p>
        </w:tc>
        <w:tc>
          <w:tcPr>
            <w:tcW w:w="312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6827"/>
              </w:rPr>
              <w:t>①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27"/>
              </w:rPr>
              <w:t>若年層を中心とした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26"/>
              </w:rPr>
              <w:t xml:space="preserve">　予防啓発の充実</w:t>
            </w:r>
          </w:p>
        </w:tc>
        <w:tc>
          <w:tcPr>
            <w:tcW w:w="9480" w:type="dxa"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5"/>
              </w:rPr>
              <w:t>・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6824"/>
              </w:rPr>
              <w:t xml:space="preserve"> 高校生を対象とした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3"/>
              </w:rPr>
              <w:t>出前授業の実施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2"/>
              </w:rPr>
              <w:t>・ 高校生向けリーフレットの配布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1"/>
              </w:rPr>
              <w:t>・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6820"/>
              </w:rPr>
              <w:t xml:space="preserve"> 教員や青少年指導員を対象とした研修会の開催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19"/>
              </w:rPr>
              <w:t xml:space="preserve">　　　　</w:t>
            </w:r>
          </w:p>
        </w:tc>
      </w:tr>
      <w:tr w:rsidR="00E465BC" w:rsidRPr="00E465BC" w:rsidTr="00E465BC">
        <w:trPr>
          <w:trHeight w:val="1016"/>
        </w:trPr>
        <w:tc>
          <w:tcPr>
            <w:tcW w:w="0" w:type="auto"/>
            <w:vMerge/>
            <w:tcBorders>
              <w:top w:val="single" w:sz="1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6818"/>
              </w:rPr>
              <w:t>②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18"/>
              </w:rPr>
              <w:t>正しい知識の普及と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17"/>
              </w:rPr>
              <w:t xml:space="preserve">　理解の促進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16"/>
              </w:rPr>
              <w:t>・ 啓発週間において、ラジオ啓発や、府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6832"/>
              </w:rPr>
              <w:t>HP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31"/>
              </w:rPr>
              <w:t>へ啓発動画の掲載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30"/>
              </w:rPr>
              <w:t>・ 府民向けセミナー（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6829"/>
              </w:rPr>
              <w:t>WEB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8"/>
              </w:rPr>
              <w:t>）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7"/>
              </w:rPr>
              <w:t>・ 新成人向け啓発チラシの配布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6"/>
              </w:rPr>
              <w:t>・ 消費者フェア（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6825"/>
              </w:rPr>
              <w:t>WEB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4"/>
              </w:rPr>
              <w:t>）における啓発</w:t>
            </w:r>
          </w:p>
        </w:tc>
      </w:tr>
      <w:tr w:rsidR="00E465BC" w:rsidRPr="00E465BC" w:rsidTr="00E465BC">
        <w:trPr>
          <w:trHeight w:val="1229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6823"/>
              </w:rPr>
              <w:t>Ⅱ</w:t>
            </w:r>
            <w:r w:rsidRPr="00E465BC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3"/>
              </w:rPr>
              <w:t>.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22"/>
              </w:rPr>
              <w:t>相談支援体制の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22"/>
              </w:rPr>
              <w:t xml:space="preserve"> 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1"/>
              </w:rPr>
              <w:t xml:space="preserve">  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20"/>
              </w:rPr>
              <w:t>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6819"/>
              </w:rPr>
              <w:t>③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19"/>
              </w:rPr>
              <w:t xml:space="preserve">依存症の本人及び家族へ　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18"/>
              </w:rPr>
              <w:t xml:space="preserve">　の相談支援の強化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17"/>
              </w:rPr>
              <w:t>・ 第２・４土曜日を含む依存症相談の実施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16"/>
              </w:rPr>
              <w:t>・ 集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28"/>
                <w:eastAsianLayout w:id="-1680536832"/>
              </w:rPr>
              <w:t>団回復プログラム（本人）、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28"/>
                <w:eastAsianLayout w:id="-1680536831"/>
              </w:rPr>
              <w:t xml:space="preserve"> サポートプログラム（家族）の実施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28"/>
                <w:eastAsianLayout w:id="-1680536830"/>
              </w:rPr>
              <w:t>・  関係機関職員を対象とした研修会の実施</w:t>
            </w:r>
          </w:p>
        </w:tc>
      </w:tr>
      <w:tr w:rsidR="00E465BC" w:rsidRPr="00E465BC" w:rsidTr="00E465BC">
        <w:trPr>
          <w:trHeight w:val="893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6829"/>
              </w:rPr>
              <w:t>Ⅲ</w:t>
            </w:r>
            <w:r w:rsidRPr="00E465BC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9"/>
              </w:rPr>
              <w:t>.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28"/>
              </w:rPr>
              <w:t>医療体制の強化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6827"/>
              </w:rPr>
              <w:t>④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27"/>
              </w:rPr>
              <w:t>依存症の治療が可能な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26"/>
              </w:rPr>
              <w:t xml:space="preserve">　医療機関の充実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5"/>
              </w:rPr>
              <w:t xml:space="preserve">・ 医療機関職員向け研修の開催　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4"/>
              </w:rPr>
              <w:t>・ 認知行動療法プログラムの普及</w:t>
            </w:r>
          </w:p>
        </w:tc>
      </w:tr>
      <w:tr w:rsidR="00E465BC" w:rsidRPr="00E465BC" w:rsidTr="00E465BC">
        <w:trPr>
          <w:trHeight w:val="792"/>
        </w:trPr>
        <w:tc>
          <w:tcPr>
            <w:tcW w:w="2540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6823"/>
              </w:rPr>
              <w:t>Ⅳ</w:t>
            </w:r>
            <w:r w:rsidRPr="00E465BC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3"/>
              </w:rPr>
              <w:t>.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22"/>
              </w:rPr>
              <w:t>切れ目のない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1"/>
              </w:rPr>
              <w:t xml:space="preserve">  </w:t>
            </w:r>
            <w:r w:rsidRPr="00E465BC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1"/>
              </w:rPr>
              <w:t>回復支援体制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0"/>
              </w:rPr>
              <w:t xml:space="preserve">  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19"/>
              </w:rPr>
              <w:t>の強化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6818"/>
              </w:rPr>
              <w:t>⑤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18"/>
              </w:rPr>
              <w:t>自助グループ・民間団体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17"/>
              </w:rPr>
              <w:t xml:space="preserve">　の活動へ支援の充実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16"/>
              </w:rPr>
              <w:t>・早期介入・回復継続支援を実施する自助グループ・民間団体への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32"/>
              </w:rPr>
              <w:t xml:space="preserve">補助 </w:t>
            </w:r>
          </w:p>
        </w:tc>
      </w:tr>
      <w:tr w:rsidR="00E465BC" w:rsidRPr="00E465BC" w:rsidTr="00E465BC">
        <w:trPr>
          <w:trHeight w:val="1131"/>
        </w:trPr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6831"/>
              </w:rPr>
              <w:t>⑥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31"/>
              </w:rPr>
              <w:t xml:space="preserve">さまざまな機関と連携した　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30"/>
              </w:rPr>
              <w:t xml:space="preserve">　支援ネットワークの強化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9"/>
              </w:rPr>
              <w:t>・ 依存症関連機関連携会議・部会の開催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8"/>
              </w:rPr>
              <w:t>・ 大阪アディクションセンター（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6827"/>
              </w:rPr>
              <w:t>OAC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6"/>
              </w:rPr>
              <w:t>）での情報共有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5"/>
              </w:rPr>
              <w:t>・ 関係機関職員や自助グループ・民間団体との交流会の開催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4"/>
              </w:rPr>
              <w:t>（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6823"/>
              </w:rPr>
              <w:t>WEB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2"/>
              </w:rPr>
              <w:t>開催）</w:t>
            </w:r>
          </w:p>
        </w:tc>
      </w:tr>
      <w:tr w:rsidR="00E465BC" w:rsidRPr="00E465BC" w:rsidTr="00E465BC">
        <w:trPr>
          <w:trHeight w:val="1204"/>
        </w:trPr>
        <w:tc>
          <w:tcPr>
            <w:tcW w:w="254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6"/>
                <w:szCs w:val="26"/>
                <w:eastAsianLayout w:id="-1680536821"/>
              </w:rPr>
              <w:t>Ⅴ</w:t>
            </w:r>
            <w:r w:rsidRPr="00E465BC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21"/>
              </w:rPr>
              <w:t>.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20"/>
              </w:rPr>
              <w:t>大阪独自の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19"/>
              </w:rPr>
              <w:t xml:space="preserve">  </w:t>
            </w:r>
            <w:r w:rsidRPr="00E465BC">
              <w:rPr>
                <w:rFonts w:ascii="Calibri" w:eastAsia="ＭＳ Ｐゴシック" w:hAnsi="Calibri" w:cs="Calibri"/>
                <w:color w:val="000000" w:themeColor="text1"/>
                <w:kern w:val="24"/>
                <w:sz w:val="26"/>
                <w:szCs w:val="26"/>
                <w:eastAsianLayout w:id="-1680536819"/>
              </w:rPr>
              <w:t>支援体制の構築</w:t>
            </w:r>
          </w:p>
        </w:tc>
        <w:tc>
          <w:tcPr>
            <w:tcW w:w="31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ＭＳ ゴシック" w:eastAsia="ＭＳ ゴシック" w:hAnsi="ＭＳ ゴシック" w:cs="ＭＳ ゴシック"/>
                <w:color w:val="000000" w:themeColor="text1"/>
                <w:kern w:val="24"/>
                <w:sz w:val="22"/>
                <w:eastAsianLayout w:id="-1680536818"/>
              </w:rPr>
              <w:t>⑦</w:t>
            </w: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18"/>
              </w:rPr>
              <w:t>予防から相談、治療及び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eastAsianLayout w:id="-1680536817"/>
              </w:rPr>
              <w:t xml:space="preserve">　回復支援体制の構築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16"/>
              </w:rPr>
              <w:t>・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32"/>
              </w:rPr>
              <w:t>依存症相談支援センターと依存症治療研究センターの連絡会の開催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31"/>
              </w:rPr>
              <w:t>・大阪依存症包括支援拠点（</w:t>
            </w:r>
            <w:r w:rsidRPr="00E465BC">
              <w:rPr>
                <w:rFonts w:ascii="ＭＳ Ｐゴシック" w:eastAsia="ＭＳ Ｐゴシック" w:hAnsi="ＭＳ Ｐゴシック" w:cs="Calibri"/>
                <w:color w:val="000000" w:themeColor="text1"/>
                <w:kern w:val="24"/>
                <w:sz w:val="24"/>
                <w:szCs w:val="30"/>
                <w:eastAsianLayout w:id="-1680536830"/>
              </w:rPr>
              <w:t>OATIS</w:t>
            </w: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9"/>
              </w:rPr>
              <w:t>）ホームページの運用</w:t>
            </w:r>
          </w:p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8"/>
              </w:rPr>
              <w:t>・ギャンブル等依存症簡易相談支援アプリの調査研究</w:t>
            </w:r>
          </w:p>
        </w:tc>
      </w:tr>
      <w:tr w:rsidR="00E465BC" w:rsidRPr="00E465BC" w:rsidTr="00E465BC">
        <w:trPr>
          <w:trHeight w:val="475"/>
        </w:trPr>
        <w:tc>
          <w:tcPr>
            <w:tcW w:w="5660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DEEBF7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465BC">
              <w:rPr>
                <w:rFonts w:ascii="Calibri" w:eastAsia="ＭＳ Ｐゴシック" w:hAnsi="Arial" w:cs="Arial"/>
                <w:color w:val="000000" w:themeColor="text1"/>
                <w:kern w:val="24"/>
                <w:sz w:val="26"/>
                <w:szCs w:val="26"/>
                <w:eastAsianLayout w:id="-1680536827"/>
              </w:rPr>
              <w:t>調　査　・　研　究</w:t>
            </w:r>
          </w:p>
        </w:tc>
        <w:tc>
          <w:tcPr>
            <w:tcW w:w="94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vAlign w:val="center"/>
            <w:hideMark/>
          </w:tcPr>
          <w:p w:rsidR="00E465BC" w:rsidRPr="00E465BC" w:rsidRDefault="00E465BC" w:rsidP="00E465B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36"/>
              </w:rPr>
            </w:pPr>
            <w:r w:rsidRPr="00E465BC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4"/>
                <w:szCs w:val="30"/>
                <w:eastAsianLayout w:id="-1680536826"/>
              </w:rPr>
              <w:t>・ギャンブル等依存症に関する実態調査の分析</w:t>
            </w:r>
          </w:p>
        </w:tc>
      </w:tr>
    </w:tbl>
    <w:p w:rsidR="00DB19FA" w:rsidRDefault="00DB19FA"/>
    <w:sectPr w:rsidR="00DB19FA" w:rsidSect="00F004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BC" w:rsidRDefault="00E465BC" w:rsidP="00E465BC">
      <w:r>
        <w:separator/>
      </w:r>
    </w:p>
  </w:endnote>
  <w:endnote w:type="continuationSeparator" w:id="0">
    <w:p w:rsidR="00E465BC" w:rsidRDefault="00E465BC" w:rsidP="00E4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BC" w:rsidRDefault="00E465BC" w:rsidP="00E465BC">
      <w:r>
        <w:separator/>
      </w:r>
    </w:p>
  </w:footnote>
  <w:footnote w:type="continuationSeparator" w:id="0">
    <w:p w:rsidR="00E465BC" w:rsidRDefault="00E465BC" w:rsidP="00E4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9q+jGGhBukDEG4U17LiTbmpaQalYmST4zj02KrPzpCLj1JULv3L5yTRE8W1V9l1pIUGweYYw3ORfKbqZHhld/g==" w:salt="yTb2GDo5zZnlZf7velUHa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B8"/>
    <w:rsid w:val="004100B8"/>
    <w:rsid w:val="00DB19FA"/>
    <w:rsid w:val="00E465BC"/>
    <w:rsid w:val="00F0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0D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04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6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5BC"/>
  </w:style>
  <w:style w:type="paragraph" w:styleId="a5">
    <w:name w:val="footer"/>
    <w:basedOn w:val="a"/>
    <w:link w:val="a6"/>
    <w:uiPriority w:val="99"/>
    <w:unhideWhenUsed/>
    <w:rsid w:val="00E46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8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2021-11-26T11:10:00Z</dcterms:created>
  <dcterms:modified xsi:type="dcterms:W3CDTF">2021-11-26T11:12:00Z</dcterms:modified>
</cp:coreProperties>
</file>