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CC" w:rsidRDefault="008B0CCC">
      <w:bookmarkStart w:id="0" w:name="_GoBack"/>
      <w:bookmarkEnd w:id="0"/>
      <w:r>
        <w:br w:type="page"/>
      </w:r>
    </w:p>
    <w:tbl>
      <w:tblPr>
        <w:tblStyle w:val="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blLook w:val="04A0" w:firstRow="1" w:lastRow="0" w:firstColumn="1" w:lastColumn="0" w:noHBand="0" w:noVBand="1"/>
      </w:tblPr>
      <w:tblGrid>
        <w:gridCol w:w="684"/>
        <w:gridCol w:w="1257"/>
        <w:gridCol w:w="185"/>
        <w:gridCol w:w="7728"/>
      </w:tblGrid>
      <w:tr w:rsidR="00993A81" w:rsidRPr="00993A81" w:rsidTr="00993A81">
        <w:tc>
          <w:tcPr>
            <w:tcW w:w="5000" w:type="pct"/>
            <w:gridSpan w:val="4"/>
            <w:tcBorders>
              <w:top w:val="single" w:sz="18" w:space="0" w:color="244061"/>
              <w:left w:val="single" w:sz="18" w:space="0" w:color="244061"/>
              <w:bottom w:val="single" w:sz="18" w:space="0" w:color="244061"/>
              <w:right w:val="single" w:sz="18" w:space="0" w:color="244061"/>
            </w:tcBorders>
            <w:shd w:val="clear" w:color="auto" w:fill="244061"/>
          </w:tcPr>
          <w:p w:rsidR="00993A81" w:rsidRPr="00993A81" w:rsidRDefault="00993A81" w:rsidP="00993A81">
            <w:pPr>
              <w:jc w:val="left"/>
              <w:rPr>
                <w:rFonts w:ascii="ＭＳ ゴシック" w:eastAsia="ＭＳ ゴシック" w:hAnsi="ＭＳ ゴシック"/>
                <w:b/>
                <w:color w:val="000000"/>
                <w:sz w:val="28"/>
                <w:szCs w:val="28"/>
              </w:rPr>
            </w:pPr>
            <w:r w:rsidRPr="00993A81">
              <w:rPr>
                <w:rFonts w:ascii="ＭＳ ゴシック" w:eastAsia="ＭＳ ゴシック" w:hAnsi="ＭＳ ゴシック" w:hint="eastAsia"/>
                <w:b/>
                <w:color w:val="FFFFFF"/>
                <w:sz w:val="28"/>
                <w:szCs w:val="28"/>
              </w:rPr>
              <w:lastRenderedPageBreak/>
              <w:t>用語集</w:t>
            </w:r>
          </w:p>
        </w:tc>
      </w:tr>
      <w:tr w:rsidR="00993A81" w:rsidRPr="00993A81" w:rsidTr="00993A81">
        <w:trPr>
          <w:trHeight w:val="265"/>
        </w:trPr>
        <w:tc>
          <w:tcPr>
            <w:tcW w:w="5000" w:type="pct"/>
            <w:gridSpan w:val="4"/>
            <w:tcBorders>
              <w:top w:val="single" w:sz="18" w:space="0" w:color="244061"/>
            </w:tcBorders>
            <w:shd w:val="clear" w:color="auto" w:fill="auto"/>
          </w:tcPr>
          <w:p w:rsidR="00993A81" w:rsidRPr="00993A81" w:rsidRDefault="00993A81" w:rsidP="00993A81">
            <w:pPr>
              <w:jc w:val="left"/>
              <w:rPr>
                <w:rFonts w:ascii="ＭＳ ゴシック" w:eastAsia="ＭＳ ゴシック" w:hAnsi="ＭＳ ゴシック"/>
                <w:b/>
                <w:color w:val="000000"/>
                <w:szCs w:val="21"/>
              </w:rPr>
            </w:pP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用語の解説については、次の書籍等を引用しました。</w:t>
            </w: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本書において、専門用語、なじみのない用語及び難解な用語について、多くの方々にご理解していただけるよう、引用文献を活用して、できるかぎり説明していますが、一部説明困難な箇所があることをご了承願います。</w:t>
            </w:r>
          </w:p>
          <w:p w:rsidR="00993A81" w:rsidRPr="00993A81" w:rsidRDefault="00993A81" w:rsidP="00993A81">
            <w:pPr>
              <w:jc w:val="left"/>
              <w:rPr>
                <w:rFonts w:ascii="ＭＳ ゴシック" w:eastAsia="ＭＳ ゴシック" w:hAnsi="ＭＳ ゴシック"/>
                <w:b/>
                <w:color w:val="000000"/>
                <w:szCs w:val="21"/>
              </w:rPr>
            </w:pP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引用</w:t>
            </w: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 xml:space="preserve">　・建築大辞典　彰国社</w:t>
            </w: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 xml:space="preserve">　・広辞苑　岩波書店</w:t>
            </w: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 xml:space="preserve">　・大辞林　三省堂</w:t>
            </w:r>
          </w:p>
          <w:p w:rsidR="00993A81" w:rsidRPr="00993A81" w:rsidRDefault="00993A81" w:rsidP="00993A81">
            <w:pPr>
              <w:ind w:firstLineChars="100" w:firstLine="210"/>
              <w:jc w:val="left"/>
              <w:rPr>
                <w:rFonts w:ascii="ＭＳ ゴシック" w:eastAsia="ＭＳ ゴシック" w:hAnsi="ＭＳ ゴシック"/>
                <w:color w:val="000000"/>
                <w:szCs w:val="21"/>
              </w:rPr>
            </w:pPr>
            <w:r w:rsidRPr="00993A81">
              <w:rPr>
                <w:rFonts w:ascii="ＭＳ ゴシック" w:eastAsia="ＭＳ ゴシック" w:hAnsi="ＭＳ ゴシック" w:hint="eastAsia"/>
                <w:color w:val="000000"/>
                <w:szCs w:val="21"/>
              </w:rPr>
              <w:t xml:space="preserve">　・公益社団法人　日本オストミー協会　ホームページ</w:t>
            </w:r>
          </w:p>
          <w:p w:rsidR="00993A81" w:rsidRPr="00993A81" w:rsidRDefault="00993A81" w:rsidP="00993A81">
            <w:pPr>
              <w:jc w:val="left"/>
              <w:rPr>
                <w:rFonts w:ascii="ＭＳ ゴシック" w:eastAsia="ＭＳ ゴシック" w:hAnsi="ＭＳ ゴシック"/>
                <w:b/>
                <w:color w:val="000000"/>
                <w:szCs w:val="21"/>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color w:val="000000"/>
                <w:szCs w:val="21"/>
              </w:rPr>
            </w:pPr>
            <w:r w:rsidRPr="00993A81">
              <w:rPr>
                <w:rFonts w:ascii="ＭＳ ゴシック" w:eastAsia="ＭＳ ゴシック" w:hAnsi="ＭＳ ゴシック" w:hint="eastAsia"/>
                <w:b/>
                <w:color w:val="000000"/>
                <w:szCs w:val="21"/>
              </w:rPr>
              <w:t>あ行</w:t>
            </w:r>
          </w:p>
        </w:tc>
        <w:tc>
          <w:tcPr>
            <w:tcW w:w="4653" w:type="pct"/>
            <w:gridSpan w:val="3"/>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tcBorders>
              <w:top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w w:val="90"/>
                <w:sz w:val="20"/>
                <w:szCs w:val="21"/>
              </w:rPr>
            </w:pPr>
            <w:r w:rsidRPr="00993A81">
              <w:rPr>
                <w:rFonts w:ascii="ＭＳ ゴシック" w:eastAsia="ＭＳ ゴシック" w:hAnsi="ＭＳ ゴシック" w:hint="eastAsia"/>
                <w:color w:val="000000"/>
                <w:w w:val="90"/>
                <w:sz w:val="20"/>
                <w:szCs w:val="21"/>
              </w:rPr>
              <w:t>アスペルガー症候群</w:t>
            </w:r>
          </w:p>
        </w:tc>
        <w:tc>
          <w:tcPr>
            <w:tcW w:w="4015" w:type="pct"/>
            <w:gridSpan w:val="2"/>
            <w:tcBorders>
              <w:top w:val="single" w:sz="18" w:space="0" w:color="244061"/>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知的発達の遅れを伴わず、かつ、自閉症の特徴のうち言葉の発達の遅れを伴わない</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広汎性発達障がいの１つ。</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アルコーブ</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室の壁面を後退させて造られた付属的な空間。開き戸の前に空間を造ることで、戸を開けたときに、廊下を歩いている人に戸がぶつからないようにするなど安全面でも</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効果がある。</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オストメイト</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ストーマ（人工肛門・人工膀胱）が造設されている人のこと。人工肛門保有者、</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人工膀胱保有者ともいう。</w:t>
            </w:r>
          </w:p>
        </w:tc>
      </w:tr>
      <w:tr w:rsidR="00993A81" w:rsidRPr="00993A81" w:rsidTr="00993A81">
        <w:trPr>
          <w:trHeight w:val="87"/>
        </w:trPr>
        <w:tc>
          <w:tcPr>
            <w:tcW w:w="5000" w:type="pct"/>
            <w:gridSpan w:val="4"/>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b/>
                <w:color w:val="000000"/>
                <w:szCs w:val="21"/>
              </w:rPr>
            </w:pPr>
            <w:r w:rsidRPr="00993A81">
              <w:rPr>
                <w:rFonts w:ascii="ＭＳ ゴシック" w:eastAsia="ＭＳ ゴシック" w:hAnsi="ＭＳ ゴシック" w:hint="eastAsia"/>
                <w:b/>
                <w:color w:val="000000"/>
                <w:szCs w:val="21"/>
              </w:rPr>
              <w:t>か行</w:t>
            </w:r>
          </w:p>
        </w:tc>
        <w:tc>
          <w:tcPr>
            <w:tcW w:w="4653" w:type="pct"/>
            <w:gridSpan w:val="3"/>
            <w:tcBorders>
              <w:left w:val="nil"/>
              <w:bottom w:val="single" w:sz="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tcBorders>
              <w:top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確認申請</w:t>
            </w:r>
          </w:p>
        </w:tc>
        <w:tc>
          <w:tcPr>
            <w:tcW w:w="4015" w:type="pct"/>
            <w:gridSpan w:val="2"/>
            <w:tcBorders>
              <w:top w:val="single" w:sz="18" w:space="0" w:color="244061"/>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建築物の新築、増築等を行う場合に、建築主が建築基準法の規定に基づいて建築主事に対して行う申請。建築物に関する建築基準法の基準は技術的であり専門的である</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ために、建築主は一定規模以上の建築物（工作物、建築設備についても準用される</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ものがある）を建築、大規模の修繕や模様替え、用途変更などをする場合に、工事着手前に建築主事の確認を受けなければならない。また建築主事は、この申請を受けてから同法第６条第１項一～三号による建築物は21日、同条第１項四号による建築物については７日以内に、その計画が建築関係法令に適合しているか否かを審査しなければならない。</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輝度</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FF0000"/>
                <w:sz w:val="20"/>
                <w:szCs w:val="21"/>
              </w:rPr>
            </w:pPr>
            <w:r w:rsidRPr="00993A81">
              <w:rPr>
                <w:rFonts w:ascii="ＭＳ ゴシック" w:eastAsia="ＭＳ ゴシック" w:hAnsi="ＭＳ ゴシック" w:hint="eastAsia"/>
                <w:color w:val="000000"/>
                <w:sz w:val="20"/>
                <w:szCs w:val="21"/>
              </w:rPr>
              <w:t>ある方向から見た面の明るさの程度を示す測光量。すなわち、ある点から発せられている光源のまぶしさを示す光量を表す。単位はcd/㎡（カンデラ/平方メートル）</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rPr>
          <w:trHeight w:val="51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輝度比</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視対象とその背景の輝度の比。一般的にコントラストと言う。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lastRenderedPageBreak/>
              <w:t>くし板</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エスカレーターにおいて、床面から踏段へ、踏段から床面へ移る案内板。</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滑り止めとして縞模様を浮かせた黄銅や鋳鉄、またはアルミ合金で作られる。</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車止め</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車の通行を禁ずること。車両が惰力その他の原因により逸走するのを防止するために設置する構造物。また、駐車場などで車の停止を助けるために設ける縁石コンクリートブロックなど。</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車寄せ</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strike/>
                <w:color w:val="000000"/>
                <w:sz w:val="20"/>
                <w:szCs w:val="21"/>
              </w:rPr>
            </w:pPr>
            <w:r w:rsidRPr="00993A81">
              <w:rPr>
                <w:rFonts w:ascii="ＭＳ ゴシック" w:eastAsia="ＭＳ ゴシック" w:hAnsi="ＭＳ ゴシック" w:hint="eastAsia"/>
                <w:color w:val="000000"/>
                <w:sz w:val="20"/>
                <w:szCs w:val="21"/>
              </w:rPr>
              <w:t>自動車の乗り降りのために，玄関前に設けた屋根つきの部分。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蹴上げ</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階段の１段の高さ。</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建築基準法</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建築物の敷地、構造、設備、用途に関する最低の基準を定めて、国民の生命、健康、財産の保護を図り、公共の福祉の増進に資することを目的とする法律。</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建築主事</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建築物、工作物および建築設備の計画の確認に関する事務をつかさどるために、</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建設大臣が行う試験に合格した者のうちから、都道府県、特定の市町村および</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特別区の長の任命を受けた者。</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こう</w:t>
                  </w:r>
                </w:rt>
                <w:rubyBase>
                  <w:r w:rsidR="00993A81" w:rsidRPr="00993A81">
                    <w:rPr>
                      <w:rFonts w:ascii="ＭＳ ゴシック" w:eastAsia="ＭＳ ゴシック" w:hAnsi="ＭＳ ゴシック"/>
                      <w:color w:val="000000"/>
                      <w:sz w:val="20"/>
                      <w:szCs w:val="20"/>
                    </w:rPr>
                    <w:t>巧</w:t>
                  </w:r>
                </w:rubyBase>
              </w:ruby>
            </w: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ち</w:t>
                  </w:r>
                </w:rt>
                <w:rubyBase>
                  <w:r w:rsidR="00993A81" w:rsidRPr="00993A81">
                    <w:rPr>
                      <w:rFonts w:ascii="ＭＳ ゴシック" w:eastAsia="ＭＳ ゴシック" w:hAnsi="ＭＳ ゴシック"/>
                      <w:color w:val="000000"/>
                      <w:sz w:val="20"/>
                      <w:szCs w:val="20"/>
                    </w:rPr>
                    <w:t>緻</w:t>
                  </w:r>
                </w:rubyBase>
              </w:ruby>
            </w: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うん</w:t>
                  </w:r>
                </w:rt>
                <w:rubyBase>
                  <w:r w:rsidR="00993A81" w:rsidRPr="00993A81">
                    <w:rPr>
                      <w:rFonts w:ascii="ＭＳ ゴシック" w:eastAsia="ＭＳ ゴシック" w:hAnsi="ＭＳ ゴシック"/>
                      <w:color w:val="000000"/>
                      <w:sz w:val="20"/>
                      <w:szCs w:val="20"/>
                    </w:rPr>
                    <w:t>運</w:t>
                  </w:r>
                </w:rubyBase>
              </w:ruby>
            </w: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どう</w:t>
                  </w:r>
                </w:rt>
                <w:rubyBase>
                  <w:r w:rsidR="00993A81" w:rsidRPr="00993A81">
                    <w:rPr>
                      <w:rFonts w:ascii="ＭＳ ゴシック" w:eastAsia="ＭＳ ゴシック" w:hAnsi="ＭＳ ゴシック"/>
                      <w:color w:val="000000"/>
                      <w:sz w:val="20"/>
                      <w:szCs w:val="20"/>
                    </w:rPr>
                    <w:t>動</w:t>
                  </w:r>
                </w:rubyBase>
              </w:ruby>
            </w: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しょう</w:t>
                  </w:r>
                </w:rt>
                <w:rubyBase>
                  <w:r w:rsidR="00993A81" w:rsidRPr="00993A81">
                    <w:rPr>
                      <w:rFonts w:ascii="ＭＳ ゴシック" w:eastAsia="ＭＳ ゴシック" w:hAnsi="ＭＳ ゴシック"/>
                      <w:color w:val="000000"/>
                      <w:sz w:val="20"/>
                      <w:szCs w:val="20"/>
                    </w:rPr>
                    <w:t>障</w:t>
                  </w:r>
                </w:rubyBase>
              </w:ruby>
            </w:r>
            <w:r w:rsidRPr="00993A81">
              <w:rPr>
                <w:rFonts w:ascii="ＭＳ ゴシック" w:eastAsia="ＭＳ ゴシック" w:hAnsi="ＭＳ ゴシック" w:hint="eastAsia"/>
                <w:color w:val="000000"/>
                <w:sz w:val="20"/>
                <w:szCs w:val="20"/>
              </w:rPr>
              <w:t>がい</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脊椎や脊髄の損傷等により、箸が使いにくい、ボタンが上手くかけられない、字が</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乱れるといった症状がでる障がいのこと。</w:t>
            </w:r>
          </w:p>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color w:val="000000"/>
                <w:szCs w:val="21"/>
              </w:rPr>
            </w:pPr>
            <w:r w:rsidRPr="00993A81">
              <w:rPr>
                <w:rFonts w:ascii="ＭＳ ゴシック" w:eastAsia="ＭＳ ゴシック" w:hAnsi="ＭＳ ゴシック" w:hint="eastAsia"/>
                <w:b/>
                <w:color w:val="000000"/>
                <w:szCs w:val="21"/>
              </w:rPr>
              <w:t>さ行</w:t>
            </w:r>
          </w:p>
        </w:tc>
        <w:tc>
          <w:tcPr>
            <w:tcW w:w="4653" w:type="pct"/>
            <w:gridSpan w:val="3"/>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災害対策基本法</w:t>
            </w:r>
          </w:p>
        </w:tc>
        <w:tc>
          <w:tcPr>
            <w:tcW w:w="4015" w:type="pct"/>
            <w:gridSpan w:val="2"/>
            <w:tcBorders>
              <w:top w:val="single" w:sz="18" w:space="0" w:color="244061"/>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国土ならびに国民の生命身体および財産を災害から保護するため、総合的、計画的な防災行政の整備および推進を図ることにより、社会の秩序の維持と公共の福祉の確保に資することを目的として制定された法律（昭和36年法律第223号）。</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彩度</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色彩の三属性の一。色の冴え、鮮やかさを表示する尺度。純色に近いほど高彩度で</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あるといい、無彩色に近いほど低彩度であるという。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サイトライン</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可視線。劇場等の客席・観覧席の各々の人が、前列の人の頭又は肩を越して視焦点</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（舞台や競技場）を見ることのできる視野の限界線のこと。</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色相</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色彩の三属性の一。色の主波長に関係し、赤、橙、黄、黄緑、緑、青緑、青、青紫、紫、赤紫などのように色知覚の性質を特徴付ける色の属性、およびそれを表現する</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尺度。</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視認</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目で確認すること。</w:t>
            </w:r>
          </w:p>
          <w:p w:rsidR="00993A81" w:rsidRPr="00993A81" w:rsidRDefault="00993A81" w:rsidP="00993A81">
            <w:pPr>
              <w:tabs>
                <w:tab w:val="left" w:pos="3139"/>
              </w:tabs>
              <w:rPr>
                <w:rFonts w:ascii="ＭＳ ゴシック" w:eastAsia="ＭＳ ゴシック" w:hAnsi="ＭＳ ゴシック"/>
                <w:sz w:val="20"/>
                <w:szCs w:val="20"/>
              </w:rPr>
            </w:pPr>
            <w:r w:rsidRPr="00993A81">
              <w:rPr>
                <w:rFonts w:ascii="ＭＳ ゴシック" w:eastAsia="ＭＳ ゴシック" w:hAnsi="ＭＳ ゴシック"/>
                <w:sz w:val="20"/>
                <w:szCs w:val="20"/>
              </w:rPr>
              <w:tab/>
            </w:r>
          </w:p>
        </w:tc>
      </w:tr>
      <w:tr w:rsidR="00993A81" w:rsidRPr="00993A81" w:rsidTr="00993A81">
        <w:trPr>
          <w:trHeight w:val="68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照度</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FF0000"/>
                <w:sz w:val="20"/>
                <w:szCs w:val="20"/>
              </w:rPr>
            </w:pPr>
            <w:r w:rsidRPr="00993A81">
              <w:rPr>
                <w:rFonts w:ascii="ＭＳ ゴシック" w:eastAsia="ＭＳ ゴシック" w:hAnsi="ＭＳ ゴシック" w:hint="eastAsia"/>
                <w:color w:val="000000"/>
                <w:sz w:val="20"/>
                <w:szCs w:val="20"/>
              </w:rPr>
              <w:t>面の光を受ける程度を示す測光量。受照面の単位面積当りの入射光束をいう。</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すなわち、ある光源によって照らされている面の明るさの度合い。単位はLx（ルクス）。</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障害者差別解消法</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国連の「障害者の権利に関する条約」の締結に向けた国内法制度の整備の一環として、全ての国民が、障害の有無によって分け隔てられることなく、相互に人格と個性を</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尊重し合いながら共生する社会の実現に向け、障害を理由とする差別の解消を推進</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することを目的として、平成25年6月に公布された法律。（平成28年4月施行）</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植樹枡</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主として街路樹（並木）を植栽するために、歩道、自転車道及び自転車歩行者道の</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一部に縁石等で区画して設けられる植栽地をいう。</w:t>
            </w:r>
          </w:p>
        </w:tc>
      </w:tr>
      <w:tr w:rsidR="00993A81" w:rsidRPr="00993A81" w:rsidTr="00993A81">
        <w:trPr>
          <w:trHeight w:val="1238"/>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触知図案内板</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触知図とは「触って知る図」のことで、建築物に設けられている移動等円滑化（バリアフリー化）されたエレベーター等の昇降機、便所、駐車施設の配置を、視覚障がい者が触って概要を把握できるよう、施設平面図及び主な設備は浮き上がった線や点字で標示するもの。墨字など視覚情報も併せて標記することで、目の見える方への案内板と兼ねることができる。</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重点整備地区</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生活関連施設（旅客施設、官公庁施設、福祉施設等）が集積し、その間の移動が通常徒歩で行われる地区等、バリアフリー法第２条第１項第21号の要件に該当する地区。</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ストーマ装具</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ストーマから排泄される便や尿を受けとめるための装具のこと。</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スパイラルアップ</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具体的なバリアフリー施策などの内容について、高齢者、</w:t>
            </w:r>
            <w:r w:rsidR="00D5691D">
              <w:rPr>
                <w:rFonts w:ascii="ＭＳ ゴシック" w:eastAsia="ＭＳ ゴシック" w:hAnsi="ＭＳ ゴシック" w:hint="eastAsia"/>
                <w:color w:val="000000"/>
                <w:sz w:val="20"/>
                <w:szCs w:val="20"/>
              </w:rPr>
              <w:t>障</w:t>
            </w:r>
            <w:r w:rsidR="00D5691D" w:rsidRPr="004475F5">
              <w:rPr>
                <w:rFonts w:ascii="ＭＳ ゴシック" w:eastAsia="ＭＳ ゴシック" w:hAnsi="ＭＳ ゴシック" w:hint="eastAsia"/>
                <w:color w:val="000000"/>
                <w:sz w:val="20"/>
                <w:szCs w:val="20"/>
                <w:highlight w:val="green"/>
              </w:rPr>
              <w:t>がい</w:t>
            </w:r>
            <w:r w:rsidR="00D5691D">
              <w:rPr>
                <w:rFonts w:ascii="ＭＳ ゴシック" w:eastAsia="ＭＳ ゴシック" w:hAnsi="ＭＳ ゴシック" w:hint="eastAsia"/>
                <w:color w:val="000000"/>
                <w:sz w:val="20"/>
                <w:szCs w:val="20"/>
              </w:rPr>
              <w:t>者など</w:t>
            </w:r>
            <w:r w:rsidRPr="00993A81">
              <w:rPr>
                <w:rFonts w:ascii="ＭＳ ゴシック" w:eastAsia="ＭＳ ゴシック" w:hAnsi="ＭＳ ゴシック" w:hint="eastAsia"/>
                <w:color w:val="000000"/>
                <w:sz w:val="20"/>
                <w:szCs w:val="20"/>
              </w:rPr>
              <w:t>当事者の参加の下で検証し、その結果に基づいて新たな施策や措置を講じることによって、段階的・継続的な発展を図っていくこと。</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袖壁</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建物から外部へ突き出して設けられる壁。</w:t>
            </w:r>
          </w:p>
        </w:tc>
      </w:tr>
      <w:tr w:rsidR="00993A81" w:rsidRPr="00993A81" w:rsidTr="00993A81">
        <w:tc>
          <w:tcPr>
            <w:tcW w:w="5000" w:type="pct"/>
            <w:gridSpan w:val="4"/>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b/>
                <w:color w:val="000000"/>
                <w:szCs w:val="21"/>
              </w:rPr>
            </w:pPr>
            <w:r w:rsidRPr="00993A81">
              <w:rPr>
                <w:rFonts w:ascii="ＭＳ ゴシック" w:eastAsia="ＭＳ ゴシック" w:hAnsi="ＭＳ ゴシック" w:hint="eastAsia"/>
                <w:b/>
                <w:color w:val="000000"/>
                <w:szCs w:val="21"/>
              </w:rPr>
              <w:t>た行</w:t>
            </w:r>
          </w:p>
        </w:tc>
        <w:tc>
          <w:tcPr>
            <w:tcW w:w="732" w:type="pct"/>
            <w:gridSpan w:val="2"/>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c>
          <w:tcPr>
            <w:tcW w:w="3921" w:type="pct"/>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手すり子</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手すりを支持する束材。竪子。</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段鼻（だんばな）</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階段の段の先端。</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ドアクローザー</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開かれた扉を自動的に速度を調節して静かに戻し閉める装置。一般には扉の上方で</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框とに取り付ける。</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rPr>
          <w:trHeight w:val="51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lastRenderedPageBreak/>
              <w:t>特定建築物</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多数の者が利用する、バリアフリー法政令第４条で指定する建築物又はその部分。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特定行政庁</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建築基準法に基づき、違反建築物に対する是正命令、不適格建築物に対する是正命令、用途地域内の建築制限に関する許可等を行う権限を有する機関。建築主事を置く市町村の区域については当該市町村の長をいい、その他の市町村の区域については都道府県知事をい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特定道路</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移動等円滑化が特に必要なものとしてバリアフリー法政令第２条で定める道路法に</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よる道路をいう。</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特別特定建築物</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不特定かつ多数の者が利用し、又は主として高齢者、障害者等が利用するもののうち、バリアフリー法政令第５条で指定するもの。</w:t>
            </w:r>
          </w:p>
        </w:tc>
      </w:tr>
      <w:tr w:rsidR="00993A81" w:rsidRPr="00993A81" w:rsidTr="00993A81">
        <w:tc>
          <w:tcPr>
            <w:tcW w:w="5000" w:type="pct"/>
            <w:gridSpan w:val="4"/>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color w:val="000000"/>
                <w:szCs w:val="21"/>
              </w:rPr>
            </w:pPr>
            <w:r w:rsidRPr="00993A81">
              <w:rPr>
                <w:rFonts w:ascii="ＭＳ ゴシック" w:eastAsia="ＭＳ ゴシック" w:hAnsi="ＭＳ ゴシック" w:hint="eastAsia"/>
                <w:b/>
                <w:color w:val="000000"/>
                <w:szCs w:val="21"/>
              </w:rPr>
              <w:t>は行</w:t>
            </w:r>
          </w:p>
        </w:tc>
        <w:tc>
          <w:tcPr>
            <w:tcW w:w="4653" w:type="pct"/>
            <w:gridSpan w:val="3"/>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rPr>
          <w:trHeight w:val="5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パウチ</w:t>
            </w:r>
          </w:p>
        </w:tc>
        <w:tc>
          <w:tcPr>
            <w:tcW w:w="401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ストーマ袋。ストーマに着けて便や尿を受けて収集する袋。多くは防臭性のある積層プラスチックフィルム製の使い捨ての製品。</w:t>
            </w:r>
          </w:p>
        </w:tc>
      </w:tr>
      <w:tr w:rsidR="00993A81" w:rsidRPr="00993A81" w:rsidTr="00993A81">
        <w:trPr>
          <w:trHeight w:val="5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rPr>
          <w:trHeight w:val="50"/>
        </w:trPr>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バリアフリー法</w:t>
            </w:r>
          </w:p>
        </w:tc>
        <w:tc>
          <w:tcPr>
            <w:tcW w:w="401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高齢者、障害者等の移動等の円滑化の促進に関する法律（平成18年施行）。従来の</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交通バリアフリー法」と「ハートビル法」の2つの法律を統合、拡充して制定された。公共交通機関や道路、建築物等の整備や、一定の地区におけるこれらの間の経路の一体的な整備を推進し、公共の福祉の増進に資することを目的とする。平成18年</w:t>
            </w:r>
            <w:r w:rsidRPr="00993A81">
              <w:rPr>
                <w:rFonts w:ascii="ＭＳ ゴシック" w:eastAsia="ＭＳ ゴシック" w:hAnsi="ＭＳ ゴシック"/>
                <w:color w:val="000000"/>
                <w:sz w:val="20"/>
                <w:szCs w:val="20"/>
              </w:rPr>
              <w:br/>
            </w:r>
            <w:r w:rsidRPr="00993A81">
              <w:rPr>
                <w:rFonts w:ascii="ＭＳ ゴシック" w:eastAsia="ＭＳ ゴシック" w:hAnsi="ＭＳ ゴシック" w:hint="eastAsia"/>
                <w:color w:val="000000"/>
                <w:sz w:val="20"/>
                <w:szCs w:val="20"/>
              </w:rPr>
              <w:t>施行。</w:t>
            </w:r>
          </w:p>
        </w:tc>
      </w:tr>
      <w:tr w:rsidR="00993A81" w:rsidRPr="00993A81" w:rsidTr="00993A81">
        <w:trPr>
          <w:gridBefore w:val="2"/>
          <w:wBefore w:w="985" w:type="pct"/>
        </w:trPr>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反射グレア</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FF0000"/>
                <w:sz w:val="20"/>
                <w:szCs w:val="20"/>
              </w:rPr>
            </w:pPr>
            <w:r w:rsidRPr="00993A81">
              <w:rPr>
                <w:rFonts w:ascii="ＭＳ ゴシック" w:eastAsia="ＭＳ ゴシック" w:hAnsi="ＭＳ ゴシック" w:hint="eastAsia"/>
                <w:color w:val="000000"/>
                <w:sz w:val="20"/>
                <w:szCs w:val="20"/>
              </w:rPr>
              <w:t>視対象表面に光源が映って見やすさが損なわれる現象。黒板、アート紙の表面、油絵、ガラス入り画面など光沢ある対象に生ずる。すなわち、光源からの強い光が机や紙に反射したものを受けることによって生じるまぶしさ。</w:t>
            </w:r>
          </w:p>
        </w:tc>
      </w:tr>
      <w:tr w:rsidR="00993A81" w:rsidRPr="00993A81" w:rsidTr="00993A81">
        <w:trPr>
          <w:gridBefore w:val="2"/>
          <w:wBefore w:w="985" w:type="pct"/>
        </w:trPr>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ピクトサイン</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案内用図記号。一般の施設、すなわち空港、駅など交通機関から、観光、文化、スポーツなどの施設で主に案内として用いられる視覚情報提供手段の１つ。</w:t>
            </w: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風除室</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外気の進入を緩和するため、建物の玄関と室内の入口の間に設ける空間。</w:t>
            </w:r>
          </w:p>
        </w:tc>
      </w:tr>
      <w:tr w:rsidR="00993A81" w:rsidRPr="00993A81" w:rsidTr="00993A81">
        <w:trPr>
          <w:gridBefore w:val="2"/>
          <w:wBefore w:w="985" w:type="pct"/>
        </w:trPr>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ふ</w:t>
                  </w:r>
                </w:rt>
                <w:rubyBase>
                  <w:r w:rsidR="00993A81" w:rsidRPr="00993A81">
                    <w:rPr>
                      <w:rFonts w:ascii="ＭＳ ゴシック" w:eastAsia="ＭＳ ゴシック" w:hAnsi="ＭＳ ゴシック"/>
                      <w:color w:val="000000"/>
                      <w:sz w:val="20"/>
                      <w:szCs w:val="20"/>
                    </w:rPr>
                    <w:t>踏</w:t>
                  </w:r>
                </w:rubyBase>
              </w:ruby>
            </w:r>
            <w:r w:rsidRPr="00993A81">
              <w:rPr>
                <w:rFonts w:ascii="ＭＳ ゴシック" w:eastAsia="ＭＳ ゴシック" w:hAnsi="ＭＳ ゴシック"/>
                <w:color w:val="000000"/>
                <w:sz w:val="20"/>
                <w:szCs w:val="20"/>
              </w:rPr>
              <w:t>み</w:t>
            </w:r>
            <w:r w:rsidRPr="00993A81">
              <w:rPr>
                <w:rFonts w:ascii="ＭＳ ゴシック" w:eastAsia="ＭＳ ゴシック" w:hAnsi="ＭＳ ゴシック"/>
                <w:color w:val="000000"/>
                <w:sz w:val="20"/>
                <w:szCs w:val="20"/>
              </w:rPr>
              <w:ruby>
                <w:rubyPr>
                  <w:rubyAlign w:val="distributeSpace"/>
                  <w:hps w:val="10"/>
                  <w:hpsRaise w:val="18"/>
                  <w:hpsBaseText w:val="20"/>
                  <w:lid w:val="ja-JP"/>
                </w:rubyPr>
                <w:rt>
                  <w:r w:rsidR="00993A81" w:rsidRPr="00993A81">
                    <w:rPr>
                      <w:rFonts w:ascii="ＭＳ ゴシック" w:eastAsia="ＭＳ ゴシック" w:hAnsi="ＭＳ ゴシック"/>
                      <w:color w:val="000000"/>
                      <w:sz w:val="20"/>
                      <w:szCs w:val="20"/>
                    </w:rPr>
                    <w:t>づら</w:t>
                  </w:r>
                </w:rt>
                <w:rubyBase>
                  <w:r w:rsidR="00993A81" w:rsidRPr="00993A81">
                    <w:rPr>
                      <w:rFonts w:ascii="ＭＳ ゴシック" w:eastAsia="ＭＳ ゴシック" w:hAnsi="ＭＳ ゴシック"/>
                      <w:color w:val="000000"/>
                      <w:sz w:val="20"/>
                      <w:szCs w:val="20"/>
                    </w:rPr>
                    <w:t>面</w:t>
                  </w:r>
                </w:rubyBase>
              </w:ruby>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階段において足を載せる段の上面。</w:t>
            </w:r>
          </w:p>
        </w:tc>
      </w:tr>
      <w:tr w:rsidR="00993A81" w:rsidRPr="00993A81" w:rsidTr="00993A81">
        <w:trPr>
          <w:gridBefore w:val="2"/>
          <w:wBefore w:w="985" w:type="pct"/>
        </w:trPr>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ベビーチェア</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親等が便所を利用する際に、一時的に乳幼児を座らせる設備。</w:t>
            </w: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ベビーベッド</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乳幼児などのための寝台。</w:t>
            </w: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便房</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便所内における個室。便器を囲った空間。</w:t>
            </w:r>
          </w:p>
        </w:tc>
      </w:tr>
      <w:tr w:rsidR="00993A81" w:rsidRPr="00993A81" w:rsidTr="00993A81">
        <w:trPr>
          <w:gridBefore w:val="2"/>
          <w:wBefore w:w="985" w:type="pct"/>
        </w:trPr>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防火区画</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火災時に延焼の拡大を防ぎ、火災を局部的なものに抑えると共に、避難を容易にする</w:t>
            </w:r>
            <w:r w:rsidRPr="00993A81">
              <w:rPr>
                <w:rFonts w:ascii="ＭＳ ゴシック" w:eastAsia="ＭＳ ゴシック" w:hAnsi="ＭＳ ゴシック" w:hint="eastAsia"/>
                <w:color w:val="000000"/>
                <w:sz w:val="20"/>
                <w:szCs w:val="20"/>
              </w:rPr>
              <w:lastRenderedPageBreak/>
              <w:t>ため一定面積以内ごと、竪穴区画または用途に応じてする防火的な区画。</w:t>
            </w: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985" w:type="pct"/>
            <w:gridSpan w:val="2"/>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ホワイエ</w:t>
            </w:r>
          </w:p>
        </w:tc>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r w:rsidRPr="00993A81">
              <w:rPr>
                <w:rFonts w:ascii="ＭＳ ゴシック" w:eastAsia="ＭＳ ゴシック" w:hAnsi="ＭＳ ゴシック" w:hint="eastAsia"/>
                <w:color w:val="000000"/>
                <w:sz w:val="20"/>
                <w:szCs w:val="20"/>
              </w:rPr>
              <w:t>入口から集会室・会議室・ホールなどの間にある広い通路空間で休憩や歓談に使われる部分。</w:t>
            </w:r>
          </w:p>
        </w:tc>
      </w:tr>
      <w:tr w:rsidR="00993A81" w:rsidRPr="00993A81" w:rsidTr="00993A81">
        <w:trPr>
          <w:gridBefore w:val="2"/>
          <w:wBefore w:w="985" w:type="pct"/>
        </w:trPr>
        <w:tc>
          <w:tcPr>
            <w:tcW w:w="4015" w:type="pct"/>
            <w:gridSpan w:val="2"/>
            <w:tcBorders>
              <w:left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0"/>
              </w:rPr>
            </w:pPr>
          </w:p>
        </w:tc>
      </w:tr>
      <w:tr w:rsidR="00993A81" w:rsidRPr="00993A81" w:rsidTr="00993A81">
        <w:tc>
          <w:tcPr>
            <w:tcW w:w="347" w:type="pct"/>
            <w:tcBorders>
              <w:left w:val="single" w:sz="18" w:space="0" w:color="244061"/>
              <w:bottom w:val="single" w:sz="18" w:space="0" w:color="244061"/>
            </w:tcBorders>
            <w:shd w:val="clear" w:color="auto" w:fill="B8CCE4"/>
          </w:tcPr>
          <w:p w:rsidR="00993A81" w:rsidRPr="00993A81" w:rsidRDefault="00993A81" w:rsidP="00993A81">
            <w:pPr>
              <w:jc w:val="left"/>
              <w:rPr>
                <w:rFonts w:ascii="ＭＳ ゴシック" w:eastAsia="ＭＳ ゴシック" w:hAnsi="ＭＳ ゴシック"/>
                <w:b/>
                <w:color w:val="000000"/>
                <w:szCs w:val="21"/>
              </w:rPr>
            </w:pPr>
            <w:r w:rsidRPr="00993A81">
              <w:rPr>
                <w:rFonts w:ascii="ＭＳ ゴシック" w:eastAsia="ＭＳ ゴシック" w:hAnsi="ＭＳ ゴシック" w:hint="eastAsia"/>
                <w:b/>
                <w:color w:val="000000"/>
                <w:szCs w:val="21"/>
              </w:rPr>
              <w:t>ま行</w:t>
            </w:r>
          </w:p>
        </w:tc>
        <w:tc>
          <w:tcPr>
            <w:tcW w:w="638" w:type="pct"/>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c>
          <w:tcPr>
            <w:tcW w:w="4015" w:type="pct"/>
            <w:gridSpan w:val="2"/>
            <w:tcBorders>
              <w:left w:val="nil"/>
              <w:bottom w:val="single" w:sz="18" w:space="0" w:color="244061"/>
            </w:tcBorders>
            <w:shd w:val="clear" w:color="auto" w:fill="auto"/>
          </w:tcPr>
          <w:p w:rsidR="00993A81" w:rsidRPr="00993A81" w:rsidRDefault="00993A81" w:rsidP="00993A81">
            <w:pPr>
              <w:jc w:val="left"/>
              <w:rPr>
                <w:rFonts w:ascii="ＭＳ ゴシック" w:eastAsia="ＭＳ ゴシック" w:hAnsi="ＭＳ ゴシック"/>
                <w:color w:val="000000"/>
                <w:szCs w:val="21"/>
              </w:rPr>
            </w:pPr>
          </w:p>
        </w:tc>
      </w:tr>
      <w:tr w:rsidR="00993A81" w:rsidRPr="00993A81" w:rsidTr="00993A81">
        <w:tc>
          <w:tcPr>
            <w:tcW w:w="985" w:type="pct"/>
            <w:gridSpan w:val="2"/>
            <w:tcBorders>
              <w:top w:val="single" w:sz="8" w:space="0" w:color="auto"/>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明度</w:t>
            </w:r>
          </w:p>
        </w:tc>
        <w:tc>
          <w:tcPr>
            <w:tcW w:w="4015" w:type="pct"/>
            <w:gridSpan w:val="2"/>
            <w:tcBorders>
              <w:top w:val="single" w:sz="18" w:space="0" w:color="244061"/>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色彩の三属性の一。物体の表面色の相対的な明暗に関する色の属性。視感反射率と</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対応する。明るさは明暗に関する視覚的な属性をいい、明度は同一条件で照明した</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白色面を基準としている。すなわち、色の持つ明るさの度合い。たとえば白や黄色は光の反射する率が高いため明度が高く、逆に黒や青は光の反射する率が少ないため</w:t>
            </w:r>
            <w:r w:rsidRPr="00993A81">
              <w:rPr>
                <w:rFonts w:ascii="ＭＳ ゴシック" w:eastAsia="ＭＳ ゴシック" w:hAnsi="ＭＳ ゴシック"/>
                <w:color w:val="000000"/>
                <w:sz w:val="20"/>
                <w:szCs w:val="21"/>
              </w:rPr>
              <w:br/>
            </w:r>
            <w:r w:rsidRPr="00993A81">
              <w:rPr>
                <w:rFonts w:ascii="ＭＳ ゴシック" w:eastAsia="ＭＳ ゴシック" w:hAnsi="ＭＳ ゴシック" w:hint="eastAsia"/>
                <w:color w:val="000000"/>
                <w:sz w:val="20"/>
                <w:szCs w:val="21"/>
              </w:rPr>
              <w:t>明度が低い。</w:t>
            </w:r>
          </w:p>
        </w:tc>
      </w:tr>
      <w:tr w:rsidR="00993A81" w:rsidRPr="00993A81" w:rsidTr="00993A81">
        <w:tc>
          <w:tcPr>
            <w:tcW w:w="985" w:type="pct"/>
            <w:gridSpan w:val="2"/>
            <w:tcBorders>
              <w:bottom w:val="nil"/>
            </w:tcBorders>
            <w:shd w:val="clear" w:color="auto" w:fill="auto"/>
          </w:tcPr>
          <w:p w:rsidR="00993A81" w:rsidRPr="00993A81" w:rsidRDefault="00993A81" w:rsidP="00993A81">
            <w:pPr>
              <w:jc w:val="center"/>
              <w:rPr>
                <w:rFonts w:ascii="ＭＳ ゴシック" w:eastAsia="ＭＳ ゴシック" w:hAnsi="ＭＳ ゴシック"/>
                <w:color w:val="000000"/>
                <w:sz w:val="20"/>
                <w:szCs w:val="21"/>
              </w:rPr>
            </w:pP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p>
        </w:tc>
      </w:tr>
      <w:tr w:rsidR="00993A81" w:rsidRPr="00993A81" w:rsidTr="00993A81">
        <w:tc>
          <w:tcPr>
            <w:tcW w:w="985" w:type="pct"/>
            <w:gridSpan w:val="2"/>
            <w:tcBorders>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盲導鈴</w:t>
            </w:r>
          </w:p>
        </w:tc>
        <w:tc>
          <w:tcPr>
            <w:tcW w:w="4015" w:type="pct"/>
            <w:gridSpan w:val="2"/>
            <w:tcBorders>
              <w:left w:val="nil"/>
              <w:bottom w:val="nil"/>
            </w:tcBorders>
            <w:shd w:val="clear" w:color="auto" w:fill="auto"/>
          </w:tcPr>
          <w:p w:rsidR="00993A81" w:rsidRPr="00993A81" w:rsidRDefault="00993A81" w:rsidP="00993A81">
            <w:pPr>
              <w:jc w:val="left"/>
              <w:rPr>
                <w:rFonts w:ascii="ＭＳ ゴシック" w:eastAsia="ＭＳ ゴシック" w:hAnsi="ＭＳ ゴシック"/>
                <w:color w:val="000000"/>
                <w:sz w:val="20"/>
                <w:szCs w:val="21"/>
              </w:rPr>
            </w:pPr>
            <w:r w:rsidRPr="00993A81">
              <w:rPr>
                <w:rFonts w:ascii="ＭＳ ゴシック" w:eastAsia="ＭＳ ゴシック" w:hAnsi="ＭＳ ゴシック" w:hint="eastAsia"/>
                <w:color w:val="000000"/>
                <w:sz w:val="20"/>
                <w:szCs w:val="21"/>
              </w:rPr>
              <w:t>視覚障がい者の誘導・案内用のチャイムや信号音。門や建物出入口等に、その位置を知らせるために取り付けられる。</w:t>
            </w:r>
          </w:p>
        </w:tc>
      </w:tr>
    </w:tbl>
    <w:p w:rsidR="00993A81" w:rsidRPr="00993A81" w:rsidRDefault="00993A81" w:rsidP="00993A81">
      <w:pPr>
        <w:jc w:val="left"/>
        <w:rPr>
          <w:rFonts w:ascii="ＭＳ ゴシック" w:eastAsia="ＭＳ ゴシック" w:hAnsi="ＭＳ ゴシック"/>
          <w:b/>
          <w:color w:val="000000"/>
          <w:sz w:val="24"/>
        </w:rPr>
      </w:pPr>
    </w:p>
    <w:p w:rsidR="00C53652" w:rsidRPr="00993A81" w:rsidRDefault="00C53652" w:rsidP="00993A81">
      <w:pPr>
        <w:widowControl/>
        <w:jc w:val="left"/>
        <w:rPr>
          <w:rFonts w:ascii="ＭＳ ゴシック" w:eastAsia="ＭＳ ゴシック" w:hAnsi="ＭＳ ゴシック"/>
        </w:rPr>
      </w:pPr>
    </w:p>
    <w:sectPr w:rsidR="00C53652" w:rsidRPr="00993A81" w:rsidSect="00644114">
      <w:headerReference w:type="default" r:id="rId11"/>
      <w:footerReference w:type="default" r:id="rId12"/>
      <w:pgSz w:w="11906" w:h="16838" w:code="9"/>
      <w:pgMar w:top="1134" w:right="1134" w:bottom="851" w:left="1134" w:header="851" w:footer="454" w:gutter="0"/>
      <w:pgNumType w:start="1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E2" w:rsidRDefault="00F36EE2" w:rsidP="00530B8F">
      <w:r>
        <w:separator/>
      </w:r>
    </w:p>
  </w:endnote>
  <w:endnote w:type="continuationSeparator" w:id="0">
    <w:p w:rsidR="00F36EE2" w:rsidRDefault="00F36EE2" w:rsidP="0053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90595"/>
      <w:docPartObj>
        <w:docPartGallery w:val="Page Numbers (Bottom of Page)"/>
        <w:docPartUnique/>
      </w:docPartObj>
    </w:sdtPr>
    <w:sdtEndPr>
      <w:rPr>
        <w:rFonts w:asciiTheme="majorEastAsia" w:eastAsiaTheme="majorEastAsia" w:hAnsiTheme="majorEastAsia"/>
      </w:rPr>
    </w:sdtEndPr>
    <w:sdtContent>
      <w:p w:rsidR="008E196B" w:rsidRPr="00926B2B" w:rsidRDefault="00926B2B" w:rsidP="00926B2B">
        <w:pPr>
          <w:pStyle w:val="a5"/>
          <w:jc w:val="center"/>
          <w:rPr>
            <w:rFonts w:asciiTheme="majorEastAsia" w:eastAsiaTheme="majorEastAsia" w:hAnsiTheme="majorEastAsia"/>
          </w:rPr>
        </w:pPr>
        <w:r w:rsidRPr="00926B2B">
          <w:rPr>
            <w:rFonts w:asciiTheme="majorEastAsia" w:eastAsiaTheme="majorEastAsia" w:hAnsiTheme="majorEastAsia"/>
          </w:rPr>
          <w:fldChar w:fldCharType="begin"/>
        </w:r>
        <w:r w:rsidRPr="00926B2B">
          <w:rPr>
            <w:rFonts w:asciiTheme="majorEastAsia" w:eastAsiaTheme="majorEastAsia" w:hAnsiTheme="majorEastAsia"/>
          </w:rPr>
          <w:instrText>PAGE   \* MERGEFORMAT</w:instrText>
        </w:r>
        <w:r w:rsidRPr="00926B2B">
          <w:rPr>
            <w:rFonts w:asciiTheme="majorEastAsia" w:eastAsiaTheme="majorEastAsia" w:hAnsiTheme="majorEastAsia"/>
          </w:rPr>
          <w:fldChar w:fldCharType="separate"/>
        </w:r>
        <w:r w:rsidR="00E641E7" w:rsidRPr="00E641E7">
          <w:rPr>
            <w:rFonts w:asciiTheme="majorEastAsia" w:eastAsiaTheme="majorEastAsia" w:hAnsiTheme="majorEastAsia"/>
            <w:noProof/>
            <w:lang w:val="ja-JP"/>
          </w:rPr>
          <w:t>178</w:t>
        </w:r>
        <w:r w:rsidRPr="00926B2B">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E2" w:rsidRDefault="00F36EE2" w:rsidP="00530B8F">
      <w:r>
        <w:separator/>
      </w:r>
    </w:p>
  </w:footnote>
  <w:footnote w:type="continuationSeparator" w:id="0">
    <w:p w:rsidR="00F36EE2" w:rsidRDefault="00F36EE2" w:rsidP="0053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7" w:rsidRPr="00C1351B" w:rsidRDefault="00C1351B" w:rsidP="000207E7">
    <w:pPr>
      <w:pStyle w:val="a3"/>
      <w:jc w:val="right"/>
      <w:rPr>
        <w:rFonts w:asciiTheme="majorEastAsia" w:eastAsiaTheme="majorEastAsia" w:hAnsiTheme="majorEastAsia"/>
        <w:sz w:val="16"/>
      </w:rPr>
    </w:pPr>
    <w:r w:rsidRPr="00C1351B">
      <w:rPr>
        <w:rFonts w:asciiTheme="majorEastAsia" w:eastAsiaTheme="majorEastAsia" w:hAnsiTheme="majorEastAsia" w:hint="eastAsia"/>
        <w:sz w:val="16"/>
      </w:rPr>
      <w:t>大阪府福祉のまちづくり条例ガイドライン</w:t>
    </w:r>
  </w:p>
  <w:p w:rsidR="00C1351B" w:rsidRPr="00A210AF" w:rsidRDefault="00993A81" w:rsidP="000207E7">
    <w:pPr>
      <w:pStyle w:val="a3"/>
      <w:jc w:val="right"/>
      <w:rPr>
        <w:rFonts w:asciiTheme="majorEastAsia" w:eastAsiaTheme="majorEastAsia" w:hAnsiTheme="majorEastAsia"/>
        <w:sz w:val="16"/>
      </w:rPr>
    </w:pPr>
    <w:r>
      <w:rPr>
        <w:rFonts w:ascii="ＭＳ ゴシック" w:eastAsia="ＭＳ ゴシック" w:hint="eastAsia"/>
        <w:kern w:val="0"/>
        <w:sz w:val="16"/>
        <w:highlight w:val="green"/>
      </w:rPr>
      <w:t>令和○</w:t>
    </w:r>
    <w:r>
      <w:rPr>
        <w:rFonts w:ascii="ＭＳ ゴシック" w:eastAsia="ＭＳ ゴシック" w:hint="eastAsia"/>
        <w:kern w:val="0"/>
        <w:sz w:val="16"/>
      </w:rPr>
      <w:t>年</w:t>
    </w:r>
    <w:r>
      <w:rPr>
        <w:rFonts w:ascii="ＭＳ ゴシック" w:eastAsia="ＭＳ ゴシック" w:hint="eastAsia"/>
        <w:kern w:val="0"/>
        <w:sz w:val="16"/>
        <w:highlight w:val="green"/>
      </w:rPr>
      <w:t>○</w:t>
    </w:r>
    <w:r>
      <w:rPr>
        <w:rFonts w:ascii="ＭＳ ゴシック" w:eastAsia="ＭＳ ゴシック" w:hint="eastAsia"/>
        <w:kern w:val="0"/>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D5"/>
    <w:rsid w:val="00005C9B"/>
    <w:rsid w:val="0001146A"/>
    <w:rsid w:val="00011CC9"/>
    <w:rsid w:val="00012096"/>
    <w:rsid w:val="00015793"/>
    <w:rsid w:val="00017255"/>
    <w:rsid w:val="000207E7"/>
    <w:rsid w:val="00020980"/>
    <w:rsid w:val="0002650C"/>
    <w:rsid w:val="00032F43"/>
    <w:rsid w:val="00042424"/>
    <w:rsid w:val="00060C73"/>
    <w:rsid w:val="00061B98"/>
    <w:rsid w:val="00065B8A"/>
    <w:rsid w:val="00084249"/>
    <w:rsid w:val="00086526"/>
    <w:rsid w:val="00086D3A"/>
    <w:rsid w:val="000A72A1"/>
    <w:rsid w:val="000A79F8"/>
    <w:rsid w:val="000B101A"/>
    <w:rsid w:val="000B2456"/>
    <w:rsid w:val="000C6504"/>
    <w:rsid w:val="000D451E"/>
    <w:rsid w:val="000F326C"/>
    <w:rsid w:val="000F4657"/>
    <w:rsid w:val="001030E7"/>
    <w:rsid w:val="00110F4A"/>
    <w:rsid w:val="00114732"/>
    <w:rsid w:val="00114934"/>
    <w:rsid w:val="00122834"/>
    <w:rsid w:val="00124E6B"/>
    <w:rsid w:val="00143BCE"/>
    <w:rsid w:val="00143D9E"/>
    <w:rsid w:val="001666AF"/>
    <w:rsid w:val="00171B4E"/>
    <w:rsid w:val="00195A7C"/>
    <w:rsid w:val="0019799B"/>
    <w:rsid w:val="001A4ABB"/>
    <w:rsid w:val="001B6FCB"/>
    <w:rsid w:val="001C1FBB"/>
    <w:rsid w:val="001C302D"/>
    <w:rsid w:val="001C485C"/>
    <w:rsid w:val="001C5139"/>
    <w:rsid w:val="001D605C"/>
    <w:rsid w:val="001E1B2D"/>
    <w:rsid w:val="001F168A"/>
    <w:rsid w:val="001F2B75"/>
    <w:rsid w:val="00213E18"/>
    <w:rsid w:val="002140F9"/>
    <w:rsid w:val="00217CAE"/>
    <w:rsid w:val="00222D67"/>
    <w:rsid w:val="00225430"/>
    <w:rsid w:val="00231593"/>
    <w:rsid w:val="00243080"/>
    <w:rsid w:val="00253EE8"/>
    <w:rsid w:val="002662AA"/>
    <w:rsid w:val="00273031"/>
    <w:rsid w:val="00276C3C"/>
    <w:rsid w:val="00292E40"/>
    <w:rsid w:val="00297D93"/>
    <w:rsid w:val="002C10B6"/>
    <w:rsid w:val="002F0D5F"/>
    <w:rsid w:val="00307E7B"/>
    <w:rsid w:val="00321F89"/>
    <w:rsid w:val="00333CB7"/>
    <w:rsid w:val="0033464C"/>
    <w:rsid w:val="00346427"/>
    <w:rsid w:val="003511D6"/>
    <w:rsid w:val="00352C45"/>
    <w:rsid w:val="00364B3A"/>
    <w:rsid w:val="0037409C"/>
    <w:rsid w:val="00381439"/>
    <w:rsid w:val="00381DE3"/>
    <w:rsid w:val="003843EE"/>
    <w:rsid w:val="00387778"/>
    <w:rsid w:val="0039576B"/>
    <w:rsid w:val="003A32B6"/>
    <w:rsid w:val="003A5F83"/>
    <w:rsid w:val="003A6B3F"/>
    <w:rsid w:val="003A74D3"/>
    <w:rsid w:val="003A7510"/>
    <w:rsid w:val="003B10F9"/>
    <w:rsid w:val="003B78FC"/>
    <w:rsid w:val="003C7DE4"/>
    <w:rsid w:val="003E1C85"/>
    <w:rsid w:val="003E77A6"/>
    <w:rsid w:val="003F1D2C"/>
    <w:rsid w:val="003F46D0"/>
    <w:rsid w:val="003F5B69"/>
    <w:rsid w:val="00400B11"/>
    <w:rsid w:val="004020B8"/>
    <w:rsid w:val="00415F48"/>
    <w:rsid w:val="00420EB3"/>
    <w:rsid w:val="004212E6"/>
    <w:rsid w:val="00426B4A"/>
    <w:rsid w:val="00426E0B"/>
    <w:rsid w:val="004271DF"/>
    <w:rsid w:val="004277D5"/>
    <w:rsid w:val="004311EB"/>
    <w:rsid w:val="004346CF"/>
    <w:rsid w:val="004475F5"/>
    <w:rsid w:val="004626BA"/>
    <w:rsid w:val="0046694A"/>
    <w:rsid w:val="00471259"/>
    <w:rsid w:val="00473CDA"/>
    <w:rsid w:val="00480449"/>
    <w:rsid w:val="00481C01"/>
    <w:rsid w:val="004858C2"/>
    <w:rsid w:val="00495730"/>
    <w:rsid w:val="004B7CFA"/>
    <w:rsid w:val="004D3D89"/>
    <w:rsid w:val="004D6D53"/>
    <w:rsid w:val="004E1020"/>
    <w:rsid w:val="004E42B2"/>
    <w:rsid w:val="004F68D6"/>
    <w:rsid w:val="004F7496"/>
    <w:rsid w:val="00506506"/>
    <w:rsid w:val="00507BE7"/>
    <w:rsid w:val="00514B50"/>
    <w:rsid w:val="0052096E"/>
    <w:rsid w:val="00520AA8"/>
    <w:rsid w:val="0052172A"/>
    <w:rsid w:val="00525683"/>
    <w:rsid w:val="00526301"/>
    <w:rsid w:val="00530B8F"/>
    <w:rsid w:val="00530C21"/>
    <w:rsid w:val="00532B00"/>
    <w:rsid w:val="00532F0E"/>
    <w:rsid w:val="00534055"/>
    <w:rsid w:val="00542552"/>
    <w:rsid w:val="0054653C"/>
    <w:rsid w:val="0055051D"/>
    <w:rsid w:val="00553F9B"/>
    <w:rsid w:val="005619F8"/>
    <w:rsid w:val="005621EB"/>
    <w:rsid w:val="0056296D"/>
    <w:rsid w:val="00575763"/>
    <w:rsid w:val="0057677B"/>
    <w:rsid w:val="005816E7"/>
    <w:rsid w:val="00590779"/>
    <w:rsid w:val="00592D58"/>
    <w:rsid w:val="00593C69"/>
    <w:rsid w:val="005943AB"/>
    <w:rsid w:val="005A7838"/>
    <w:rsid w:val="005C6543"/>
    <w:rsid w:val="005D4043"/>
    <w:rsid w:val="005E2EDB"/>
    <w:rsid w:val="005E35A3"/>
    <w:rsid w:val="005F0EFF"/>
    <w:rsid w:val="0060003F"/>
    <w:rsid w:val="00611F8D"/>
    <w:rsid w:val="006269B8"/>
    <w:rsid w:val="0064313B"/>
    <w:rsid w:val="00644114"/>
    <w:rsid w:val="00657408"/>
    <w:rsid w:val="006804D1"/>
    <w:rsid w:val="00691479"/>
    <w:rsid w:val="00692C1D"/>
    <w:rsid w:val="006A450F"/>
    <w:rsid w:val="006A7803"/>
    <w:rsid w:val="006B5C38"/>
    <w:rsid w:val="006B715F"/>
    <w:rsid w:val="006D1C39"/>
    <w:rsid w:val="006D5482"/>
    <w:rsid w:val="006D60AF"/>
    <w:rsid w:val="006E6D94"/>
    <w:rsid w:val="00701376"/>
    <w:rsid w:val="007033C0"/>
    <w:rsid w:val="007160C6"/>
    <w:rsid w:val="00716BA2"/>
    <w:rsid w:val="007208F6"/>
    <w:rsid w:val="00720DE7"/>
    <w:rsid w:val="00723794"/>
    <w:rsid w:val="0072638F"/>
    <w:rsid w:val="00730D28"/>
    <w:rsid w:val="0074492B"/>
    <w:rsid w:val="00754881"/>
    <w:rsid w:val="00775664"/>
    <w:rsid w:val="00786B9D"/>
    <w:rsid w:val="00787763"/>
    <w:rsid w:val="007879F7"/>
    <w:rsid w:val="007918CC"/>
    <w:rsid w:val="007951E3"/>
    <w:rsid w:val="007959E1"/>
    <w:rsid w:val="007A1A8C"/>
    <w:rsid w:val="007B4C49"/>
    <w:rsid w:val="007C042F"/>
    <w:rsid w:val="007C72A3"/>
    <w:rsid w:val="007C7E8B"/>
    <w:rsid w:val="007E4D6A"/>
    <w:rsid w:val="007E768E"/>
    <w:rsid w:val="007F7189"/>
    <w:rsid w:val="008029D9"/>
    <w:rsid w:val="00803E4D"/>
    <w:rsid w:val="008249E5"/>
    <w:rsid w:val="00870796"/>
    <w:rsid w:val="00871A97"/>
    <w:rsid w:val="0088074E"/>
    <w:rsid w:val="00881092"/>
    <w:rsid w:val="008821E1"/>
    <w:rsid w:val="00892614"/>
    <w:rsid w:val="00892E7D"/>
    <w:rsid w:val="008A2178"/>
    <w:rsid w:val="008B0CCC"/>
    <w:rsid w:val="008C2CA7"/>
    <w:rsid w:val="008D5223"/>
    <w:rsid w:val="008E196B"/>
    <w:rsid w:val="008E37FB"/>
    <w:rsid w:val="008F7473"/>
    <w:rsid w:val="00913419"/>
    <w:rsid w:val="00926B2B"/>
    <w:rsid w:val="00933970"/>
    <w:rsid w:val="009401AA"/>
    <w:rsid w:val="009429B1"/>
    <w:rsid w:val="00943F89"/>
    <w:rsid w:val="00960EE8"/>
    <w:rsid w:val="00961197"/>
    <w:rsid w:val="00964507"/>
    <w:rsid w:val="0097491A"/>
    <w:rsid w:val="00977739"/>
    <w:rsid w:val="009823F6"/>
    <w:rsid w:val="0099033A"/>
    <w:rsid w:val="00993A81"/>
    <w:rsid w:val="00994C83"/>
    <w:rsid w:val="009A594F"/>
    <w:rsid w:val="009D20B4"/>
    <w:rsid w:val="009D20DE"/>
    <w:rsid w:val="009D4B6F"/>
    <w:rsid w:val="009F72F0"/>
    <w:rsid w:val="009F733B"/>
    <w:rsid w:val="00A041BF"/>
    <w:rsid w:val="00A0631C"/>
    <w:rsid w:val="00A0760D"/>
    <w:rsid w:val="00A210AF"/>
    <w:rsid w:val="00A23E8C"/>
    <w:rsid w:val="00A2639B"/>
    <w:rsid w:val="00A404AF"/>
    <w:rsid w:val="00A47E90"/>
    <w:rsid w:val="00A50D7D"/>
    <w:rsid w:val="00A56936"/>
    <w:rsid w:val="00A623F7"/>
    <w:rsid w:val="00A675CB"/>
    <w:rsid w:val="00A7293C"/>
    <w:rsid w:val="00A85EA2"/>
    <w:rsid w:val="00A92418"/>
    <w:rsid w:val="00A92E22"/>
    <w:rsid w:val="00A95A63"/>
    <w:rsid w:val="00AA177F"/>
    <w:rsid w:val="00AA7B24"/>
    <w:rsid w:val="00AB5165"/>
    <w:rsid w:val="00AC3906"/>
    <w:rsid w:val="00AC6478"/>
    <w:rsid w:val="00AC6A28"/>
    <w:rsid w:val="00AD768D"/>
    <w:rsid w:val="00AE5A99"/>
    <w:rsid w:val="00AF6F1C"/>
    <w:rsid w:val="00AF7B02"/>
    <w:rsid w:val="00B0509B"/>
    <w:rsid w:val="00B10348"/>
    <w:rsid w:val="00B156DB"/>
    <w:rsid w:val="00B15C89"/>
    <w:rsid w:val="00B2089F"/>
    <w:rsid w:val="00B402A7"/>
    <w:rsid w:val="00B65E3B"/>
    <w:rsid w:val="00B66F8E"/>
    <w:rsid w:val="00B81572"/>
    <w:rsid w:val="00B93751"/>
    <w:rsid w:val="00BB5E55"/>
    <w:rsid w:val="00BC41E4"/>
    <w:rsid w:val="00BC63F8"/>
    <w:rsid w:val="00BD02A1"/>
    <w:rsid w:val="00BD180A"/>
    <w:rsid w:val="00BE0768"/>
    <w:rsid w:val="00BE0A48"/>
    <w:rsid w:val="00BE6DE3"/>
    <w:rsid w:val="00BF5036"/>
    <w:rsid w:val="00BF6B8E"/>
    <w:rsid w:val="00C062CF"/>
    <w:rsid w:val="00C1351B"/>
    <w:rsid w:val="00C13FF3"/>
    <w:rsid w:val="00C2656B"/>
    <w:rsid w:val="00C33990"/>
    <w:rsid w:val="00C374BB"/>
    <w:rsid w:val="00C4101E"/>
    <w:rsid w:val="00C46D50"/>
    <w:rsid w:val="00C5213E"/>
    <w:rsid w:val="00C53652"/>
    <w:rsid w:val="00C60F97"/>
    <w:rsid w:val="00C61721"/>
    <w:rsid w:val="00C62A3F"/>
    <w:rsid w:val="00C65559"/>
    <w:rsid w:val="00C85492"/>
    <w:rsid w:val="00C95546"/>
    <w:rsid w:val="00CA6ACB"/>
    <w:rsid w:val="00CD7ED5"/>
    <w:rsid w:val="00CE1165"/>
    <w:rsid w:val="00CE50A0"/>
    <w:rsid w:val="00CF5734"/>
    <w:rsid w:val="00CF63E5"/>
    <w:rsid w:val="00D21549"/>
    <w:rsid w:val="00D216D7"/>
    <w:rsid w:val="00D2405D"/>
    <w:rsid w:val="00D24B72"/>
    <w:rsid w:val="00D258A3"/>
    <w:rsid w:val="00D26A7A"/>
    <w:rsid w:val="00D342AA"/>
    <w:rsid w:val="00D45F8D"/>
    <w:rsid w:val="00D51B6B"/>
    <w:rsid w:val="00D5691D"/>
    <w:rsid w:val="00D718D8"/>
    <w:rsid w:val="00D72867"/>
    <w:rsid w:val="00D72AEB"/>
    <w:rsid w:val="00D9035C"/>
    <w:rsid w:val="00D935E7"/>
    <w:rsid w:val="00DA2DB8"/>
    <w:rsid w:val="00DA3581"/>
    <w:rsid w:val="00DA37E9"/>
    <w:rsid w:val="00DA447F"/>
    <w:rsid w:val="00DA4956"/>
    <w:rsid w:val="00DB7BF2"/>
    <w:rsid w:val="00DD0C62"/>
    <w:rsid w:val="00DF4185"/>
    <w:rsid w:val="00E023AA"/>
    <w:rsid w:val="00E517CF"/>
    <w:rsid w:val="00E641E7"/>
    <w:rsid w:val="00E6695F"/>
    <w:rsid w:val="00E76C53"/>
    <w:rsid w:val="00E8589F"/>
    <w:rsid w:val="00E87369"/>
    <w:rsid w:val="00E91D4F"/>
    <w:rsid w:val="00EA0463"/>
    <w:rsid w:val="00EA2C8A"/>
    <w:rsid w:val="00EA7011"/>
    <w:rsid w:val="00EA759F"/>
    <w:rsid w:val="00EB1DD4"/>
    <w:rsid w:val="00EB340E"/>
    <w:rsid w:val="00EB666E"/>
    <w:rsid w:val="00EB6A56"/>
    <w:rsid w:val="00EC3E1B"/>
    <w:rsid w:val="00ED22E7"/>
    <w:rsid w:val="00EF71AA"/>
    <w:rsid w:val="00F03B7D"/>
    <w:rsid w:val="00F053BB"/>
    <w:rsid w:val="00F056CE"/>
    <w:rsid w:val="00F13494"/>
    <w:rsid w:val="00F13648"/>
    <w:rsid w:val="00F17568"/>
    <w:rsid w:val="00F2220E"/>
    <w:rsid w:val="00F27174"/>
    <w:rsid w:val="00F36EE2"/>
    <w:rsid w:val="00F40985"/>
    <w:rsid w:val="00F46416"/>
    <w:rsid w:val="00F57C4B"/>
    <w:rsid w:val="00F65E28"/>
    <w:rsid w:val="00FA1F2B"/>
    <w:rsid w:val="00FA7EBE"/>
    <w:rsid w:val="00FB62BC"/>
    <w:rsid w:val="00FC47E3"/>
    <w:rsid w:val="00FC54BA"/>
    <w:rsid w:val="00FE1EB6"/>
    <w:rsid w:val="00FF10B9"/>
    <w:rsid w:val="00FF26D5"/>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細丸ゴシック体" w:eastAsia="ＤＦ細丸ゴシック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B8F"/>
    <w:pPr>
      <w:tabs>
        <w:tab w:val="center" w:pos="4252"/>
        <w:tab w:val="right" w:pos="8504"/>
      </w:tabs>
      <w:snapToGrid w:val="0"/>
    </w:pPr>
  </w:style>
  <w:style w:type="character" w:customStyle="1" w:styleId="a4">
    <w:name w:val="ヘッダー (文字)"/>
    <w:basedOn w:val="a0"/>
    <w:link w:val="a3"/>
    <w:uiPriority w:val="99"/>
    <w:rsid w:val="00530B8F"/>
    <w:rPr>
      <w:rFonts w:ascii="ＤＦ細丸ゴシック体" w:eastAsia="ＤＦ細丸ゴシック体"/>
    </w:rPr>
  </w:style>
  <w:style w:type="paragraph" w:styleId="a5">
    <w:name w:val="footer"/>
    <w:basedOn w:val="a"/>
    <w:link w:val="a6"/>
    <w:uiPriority w:val="99"/>
    <w:unhideWhenUsed/>
    <w:rsid w:val="00530B8F"/>
    <w:pPr>
      <w:tabs>
        <w:tab w:val="center" w:pos="4252"/>
        <w:tab w:val="right" w:pos="8504"/>
      </w:tabs>
      <w:snapToGrid w:val="0"/>
    </w:pPr>
  </w:style>
  <w:style w:type="character" w:customStyle="1" w:styleId="a6">
    <w:name w:val="フッター (文字)"/>
    <w:basedOn w:val="a0"/>
    <w:link w:val="a5"/>
    <w:uiPriority w:val="99"/>
    <w:rsid w:val="00530B8F"/>
    <w:rPr>
      <w:rFonts w:ascii="ＤＦ細丸ゴシック体" w:eastAsia="ＤＦ細丸ゴシック体"/>
    </w:rPr>
  </w:style>
  <w:style w:type="paragraph" w:styleId="a7">
    <w:name w:val="Balloon Text"/>
    <w:basedOn w:val="a"/>
    <w:link w:val="a8"/>
    <w:uiPriority w:val="99"/>
    <w:semiHidden/>
    <w:unhideWhenUsed/>
    <w:rsid w:val="00E023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3AA"/>
    <w:rPr>
      <w:rFonts w:asciiTheme="majorHAnsi" w:eastAsiaTheme="majorEastAsia" w:hAnsiTheme="majorHAnsi" w:cstheme="majorBidi"/>
      <w:sz w:val="18"/>
      <w:szCs w:val="18"/>
    </w:rPr>
  </w:style>
  <w:style w:type="paragraph" w:styleId="Web">
    <w:name w:val="Normal (Web)"/>
    <w:basedOn w:val="a"/>
    <w:uiPriority w:val="99"/>
    <w:semiHidden/>
    <w:unhideWhenUsed/>
    <w:rsid w:val="00C374BB"/>
    <w:rPr>
      <w:rFonts w:ascii="Times New Roman" w:hAnsi="Times New Roman"/>
      <w:sz w:val="24"/>
    </w:rPr>
  </w:style>
  <w:style w:type="table" w:styleId="a9">
    <w:name w:val="Table Grid"/>
    <w:basedOn w:val="a1"/>
    <w:uiPriority w:val="59"/>
    <w:rsid w:val="00FF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41E4"/>
    <w:pPr>
      <w:ind w:leftChars="400" w:left="840"/>
    </w:pPr>
  </w:style>
  <w:style w:type="table" w:styleId="2">
    <w:name w:val="Light List Accent 1"/>
    <w:basedOn w:val="a1"/>
    <w:uiPriority w:val="61"/>
    <w:rsid w:val="00A063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Plain Text"/>
    <w:basedOn w:val="a"/>
    <w:link w:val="ac"/>
    <w:uiPriority w:val="99"/>
    <w:unhideWhenUsed/>
    <w:rsid w:val="0072379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23794"/>
    <w:rPr>
      <w:rFonts w:hAnsi="Courier New" w:cs="Courier New"/>
      <w:sz w:val="20"/>
      <w:szCs w:val="21"/>
    </w:rPr>
  </w:style>
  <w:style w:type="character" w:styleId="ad">
    <w:name w:val="Hyperlink"/>
    <w:basedOn w:val="a0"/>
    <w:uiPriority w:val="99"/>
    <w:unhideWhenUsed/>
    <w:rsid w:val="004626BA"/>
    <w:rPr>
      <w:color w:val="0000FF" w:themeColor="hyperlink"/>
      <w:u w:val="single"/>
    </w:rPr>
  </w:style>
  <w:style w:type="table" w:customStyle="1" w:styleId="20">
    <w:name w:val="表 (格子)2"/>
    <w:basedOn w:val="a1"/>
    <w:next w:val="a9"/>
    <w:uiPriority w:val="59"/>
    <w:rsid w:val="0099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BA17-F688-4D42-B5F8-B7C590D1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432EF8-10E7-418C-AB2C-91BD1EBCC8CA}">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E322D82D-E711-4AE1-987F-E4E1485094A9}">
  <ds:schemaRefs>
    <ds:schemaRef ds:uri="http://schemas.microsoft.com/sharepoint/v3/contenttype/forms"/>
  </ds:schemaRefs>
</ds:datastoreItem>
</file>

<file path=customXml/itemProps4.xml><?xml version="1.0" encoding="utf-8"?>
<ds:datastoreItem xmlns:ds="http://schemas.openxmlformats.org/officeDocument/2006/customXml" ds:itemID="{46E96940-BCFB-438F-AB28-417D88A0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2020-02-07T05:14:00Z</dcterms:created>
  <dcterms:modified xsi:type="dcterms:W3CDTF">2020-02-07T05:14:00Z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