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D" w:rsidRPr="002C1784" w:rsidRDefault="00166A05">
      <w:pPr>
        <w:rPr>
          <w:rFonts w:ascii="HG丸ｺﾞｼｯｸM-PRO" w:eastAsia="HG丸ｺﾞｼｯｸM-PRO" w:hAnsi="HG丸ｺﾞｼｯｸM-PRO"/>
          <w:szCs w:val="21"/>
        </w:rPr>
      </w:pPr>
      <w:r w:rsidRPr="00166A05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5024755</wp:posOffset>
                </wp:positionH>
                <wp:positionV relativeFrom="paragraph">
                  <wp:posOffset>-190500</wp:posOffset>
                </wp:positionV>
                <wp:extent cx="919480" cy="1403985"/>
                <wp:effectExtent l="0" t="0" r="1397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05" w:rsidRPr="00166A05" w:rsidRDefault="006A6552" w:rsidP="00166A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65pt;margin-top:-15pt;width:72.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">
                <v:textbox style="mso-fit-shape-to-text:t">
                  <w:txbxContent>
                    <w:p w:rsidR="00166A05" w:rsidRPr="00166A05" w:rsidRDefault="006A6552" w:rsidP="00166A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DC2855" w:rsidRPr="002C1784">
        <w:rPr>
          <w:rFonts w:ascii="HG丸ｺﾞｼｯｸM-PRO" w:eastAsia="HG丸ｺﾞｼｯｸM-PRO" w:hAnsi="HG丸ｺﾞｼｯｸM-PRO" w:hint="eastAsia"/>
          <w:szCs w:val="21"/>
        </w:rPr>
        <w:t>■共同住宅の基準適合義務対象規模の見直しについて</w:t>
      </w:r>
    </w:p>
    <w:p w:rsidR="00DC2855" w:rsidRPr="00951EAA" w:rsidRDefault="00B71DC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【背景】</w:t>
      </w:r>
    </w:p>
    <w:p w:rsidR="00DC2855" w:rsidRPr="00951EAA" w:rsidRDefault="00B71DCA" w:rsidP="00B71DC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DC2855"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○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現行条例では共同住宅の基準適合義務は、</w:t>
      </w:r>
      <w:r w:rsidR="00EA0E50"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</w:t>
      </w:r>
      <w:r w:rsidR="00DC2855"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2,000㎡以上又は住戸の数50以上</w:t>
      </w:r>
      <w:r w:rsidR="00EA0E50"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D464BE" w:rsidRPr="00951EAA" w:rsidRDefault="00D464BE" w:rsidP="00503B8D">
      <w:pPr>
        <w:ind w:firstLineChars="202" w:firstLine="424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503B8D"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平成5年（条例制定当初）：５０戸以上＜事前協議＞</w:t>
      </w:r>
    </w:p>
    <w:p w:rsidR="00503B8D" w:rsidRPr="00951EAA" w:rsidRDefault="00503B8D" w:rsidP="00503B8D">
      <w:pPr>
        <w:ind w:firstLineChars="202" w:firstLine="424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・平成15年改正（ハートビル法の改正に合わせる）：2,000㎡以上を追加＜事前協議＞</w:t>
      </w:r>
    </w:p>
    <w:p w:rsidR="00503B8D" w:rsidRPr="00951EAA" w:rsidRDefault="00503B8D" w:rsidP="00503B8D">
      <w:pPr>
        <w:ind w:firstLineChars="202" w:firstLine="424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・平成21年改正（バリアフリー法の制定を受け）：現行規模</w:t>
      </w:r>
      <w:r w:rsidR="00BA4122"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≪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建築確認での適合義務</w:t>
      </w:r>
      <w:r w:rsidR="00BA4122" w:rsidRPr="00951E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≫</w:t>
      </w:r>
    </w:p>
    <w:p w:rsidR="00D464BE" w:rsidRPr="00951EAA" w:rsidRDefault="00CA0EA1" w:rsidP="00BA4122">
      <w:pPr>
        <w:pStyle w:val="Web"/>
        <w:spacing w:before="0" w:beforeAutospacing="0" w:after="0" w:afterAutospacing="0"/>
        <w:ind w:leftChars="200" w:left="420" w:firstLineChars="100" w:firstLine="21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それ以降現在まで見直しを行っていない。</w:t>
      </w:r>
    </w:p>
    <w:p w:rsidR="00692421" w:rsidRPr="00951EAA" w:rsidRDefault="00692421" w:rsidP="009A010B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</w:p>
    <w:p w:rsidR="009A010B" w:rsidRPr="00951EAA" w:rsidRDefault="009A010B" w:rsidP="009A010B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</w:t>
      </w:r>
      <w:r w:rsidR="00205115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○障がい当事者</w:t>
      </w:r>
      <w:r w:rsidR="00B83159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団体</w:t>
      </w:r>
      <w:r w:rsidR="00205115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から</w:t>
      </w: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基準適合義務対象規模の引下げについて強い要望がある。</w:t>
      </w:r>
    </w:p>
    <w:p w:rsidR="009A010B" w:rsidRPr="00951EAA" w:rsidRDefault="009A010B" w:rsidP="009A010B">
      <w:pPr>
        <w:pStyle w:val="Web"/>
        <w:spacing w:before="0" w:beforeAutospacing="0" w:after="0" w:afterAutospacing="0"/>
        <w:ind w:left="630" w:hangingChars="300" w:hanging="63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 xml:space="preserve">　　（現状よりも小規模な共同住宅において、少なくとも1階の玄関周りの住戸へのアクセスを</w:t>
      </w:r>
    </w:p>
    <w:p w:rsidR="009A010B" w:rsidRPr="00951EAA" w:rsidRDefault="009A010B" w:rsidP="009A010B">
      <w:pPr>
        <w:pStyle w:val="Web"/>
        <w:spacing w:before="0" w:beforeAutospacing="0" w:after="0" w:afterAutospacing="0"/>
        <w:ind w:leftChars="300" w:left="63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可能にするようにして欲しいという内容）</w:t>
      </w:r>
    </w:p>
    <w:p w:rsidR="00EF1E02" w:rsidRPr="00951EAA" w:rsidRDefault="00EF1E02" w:rsidP="00DF6276">
      <w:pPr>
        <w:pStyle w:val="Web"/>
        <w:spacing w:before="0" w:beforeAutospacing="0" w:after="0" w:afterAutospacing="0"/>
        <w:ind w:leftChars="100" w:left="21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等から、共同住宅の基準適合義務対象規模の適正化の検討を行うため、現状の確認を行う。</w:t>
      </w:r>
    </w:p>
    <w:p w:rsidR="00EF1E02" w:rsidRPr="00205115" w:rsidRDefault="00EF1E02" w:rsidP="009A010B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</w:p>
    <w:p w:rsidR="009A010B" w:rsidRPr="00951EAA" w:rsidRDefault="009A010B" w:rsidP="009A010B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【現状】</w:t>
      </w:r>
    </w:p>
    <w:p w:rsidR="00FB2E44" w:rsidRPr="00951EAA" w:rsidRDefault="00FB2E44" w:rsidP="00D2067B">
      <w:pPr>
        <w:pStyle w:val="Web"/>
        <w:spacing w:before="0" w:beforeAutospacing="0" w:after="0" w:afterAutospacing="0"/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 xml:space="preserve">　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○</w:t>
      </w:r>
      <w:r w:rsidR="003A3F53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全国的に見ると、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バリアフリー法付加条例</w:t>
      </w:r>
      <w:r w:rsidR="00692421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において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共同住宅を</w:t>
      </w:r>
      <w:r w:rsidR="00692421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基準適合義務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対象として追加しているのは</w:t>
      </w:r>
      <w:r w:rsidR="00AD64B6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、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7都府県。</w:t>
      </w:r>
    </w:p>
    <w:p w:rsidR="00030F77" w:rsidRPr="00951EAA" w:rsidRDefault="00AD64B6" w:rsidP="00FB2E44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・</w:t>
      </w:r>
      <w:r w:rsidR="00FB2E44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1,000㎡以上：</w:t>
      </w: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鳥取県</w:t>
      </w:r>
      <w:r w:rsidR="00EE4FFB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</w:t>
      </w:r>
      <w:r w:rsidR="00503B8D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　　　　　　　</w:t>
      </w:r>
    </w:p>
    <w:p w:rsidR="003D11B5" w:rsidRPr="003D11B5" w:rsidRDefault="003D11B5" w:rsidP="00FB2E44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3D11B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・2,000㎡以上又は21戸</w:t>
      </w:r>
      <w:r w:rsidR="005419B2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以上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：兵庫県（すべての基準が21戸</w:t>
      </w:r>
      <w:r w:rsidR="005419B2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以上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ではない）</w:t>
      </w:r>
    </w:p>
    <w:p w:rsidR="00FB2E44" w:rsidRPr="00951EAA" w:rsidRDefault="00AD64B6" w:rsidP="00FB2E44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1"/>
          <w:szCs w:val="21"/>
          <w:u w:val="double"/>
        </w:rPr>
      </w:pPr>
      <w:r w:rsidRPr="0020511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・</w:t>
      </w:r>
      <w:r w:rsidR="00FB2E44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  <w:u w:val="double"/>
        </w:rPr>
        <w:t>2,000㎡以上又は50戸以上：大阪府</w:t>
      </w:r>
    </w:p>
    <w:p w:rsidR="00030F77" w:rsidRPr="00951EAA" w:rsidRDefault="00AD64B6" w:rsidP="005E28EB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・</w:t>
      </w:r>
      <w:r w:rsidR="00FB2E44" w:rsidRPr="00951EA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2,000㎡以上：埼玉県、東京都、神奈川県</w:t>
      </w:r>
    </w:p>
    <w:p w:rsidR="00FB2E44" w:rsidRPr="00951EAA" w:rsidRDefault="00AD64B6" w:rsidP="005E28EB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・</w:t>
      </w:r>
      <w:r w:rsidR="00FB2E44"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3,000㎡以上：京都府</w:t>
      </w:r>
    </w:p>
    <w:p w:rsidR="00030F77" w:rsidRPr="00951EAA" w:rsidRDefault="00030F77" w:rsidP="00030F77">
      <w:pPr>
        <w:pStyle w:val="Web"/>
        <w:spacing w:before="0" w:beforeAutospacing="0" w:after="0" w:afterAutospacing="0"/>
        <w:ind w:firstLineChars="300" w:firstLine="63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</w:p>
    <w:p w:rsidR="003C43BD" w:rsidRDefault="00216AE0" w:rsidP="003C43BD">
      <w:pPr>
        <w:pStyle w:val="Web"/>
        <w:spacing w:before="0" w:beforeAutospacing="0" w:after="0" w:afterAutospacing="0"/>
        <w:ind w:leftChars="133" w:left="489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○</w:t>
      </w:r>
      <w:r w:rsidR="0095584D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現行の府条例の規定では、2,000㎡又は50戸以上</w:t>
      </w:r>
      <w:r w:rsidR="0095584D" w:rsidRPr="000F6167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を境に基準がかかるものとかからないものとに分かれており、その差が顕著である。</w:t>
      </w:r>
    </w:p>
    <w:p w:rsidR="003C43BD" w:rsidRDefault="003C43BD" w:rsidP="003C43BD">
      <w:pPr>
        <w:pStyle w:val="Web"/>
        <w:spacing w:before="0" w:beforeAutospacing="0" w:after="0" w:afterAutospacing="0"/>
        <w:ind w:leftChars="133" w:left="489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</w:p>
    <w:p w:rsidR="00D97F94" w:rsidRPr="00D97F94" w:rsidRDefault="00D97F94" w:rsidP="00D97F94">
      <w:pPr>
        <w:pStyle w:val="Web"/>
        <w:spacing w:before="0" w:beforeAutospacing="0" w:after="0" w:afterAutospacing="0"/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D97F94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【対応（案）】</w:t>
      </w:r>
    </w:p>
    <w:p w:rsidR="00D97F94" w:rsidRPr="00116F85" w:rsidRDefault="000F6167" w:rsidP="00D97F94">
      <w:pPr>
        <w:pStyle w:val="Web"/>
        <w:spacing w:before="0" w:beforeAutospacing="0" w:after="0" w:afterAutospacing="0"/>
        <w:ind w:leftChars="133" w:left="489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0F6167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○</w:t>
      </w:r>
      <w:r w:rsidR="003C43BD"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現状よりも小規模な共同住宅において、1階の玄関周りの住戸へのアクセス</w:t>
      </w:r>
      <w:r w:rsidR="00D97F94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性</w:t>
      </w:r>
      <w:r w:rsidR="003C43BD"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を</w:t>
      </w:r>
      <w:r w:rsidR="00D97F94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向上させるためには、</w:t>
      </w:r>
      <w:r w:rsidR="00CE381F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道路</w:t>
      </w:r>
      <w:r w:rsidR="00D97F94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から住戸までを移動等円滑化経路とすることが求められる</w:t>
      </w:r>
      <w:r w:rsidR="00116F85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た</w:t>
      </w:r>
      <w:r w:rsidR="00116F85" w:rsidRPr="00116F85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め、</w:t>
      </w:r>
      <w:r w:rsidR="00116F85" w:rsidRPr="00116F85">
        <w:rPr>
          <w:rFonts w:ascii="HG丸ｺﾞｼｯｸM-PRO" w:eastAsia="HG丸ｺﾞｼｯｸM-PRO" w:hAnsi="HG丸ｺﾞｼｯｸM-PRO" w:hint="eastAsia"/>
          <w:bCs/>
          <w:color w:val="000000" w:themeColor="text1"/>
          <w:sz w:val="21"/>
          <w:szCs w:val="21"/>
        </w:rPr>
        <w:t>条例に規定する基準の見直しを行う</w:t>
      </w:r>
      <w:r w:rsidR="00116F85"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。</w:t>
      </w:r>
    </w:p>
    <w:p w:rsidR="00205115" w:rsidRDefault="00116F85" w:rsidP="00116F85">
      <w:pPr>
        <w:pStyle w:val="Web"/>
        <w:spacing w:before="0" w:beforeAutospacing="0" w:after="0" w:afterAutospacing="0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（</w:t>
      </w:r>
      <w:r w:rsidR="00D97F94"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兵庫県</w:t>
      </w:r>
      <w:r w:rsidR="00CE381F"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は</w:t>
      </w:r>
      <w:r w:rsidR="00890966"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基準適合義務対象規模を</w:t>
      </w:r>
      <w:r w:rsidR="00CE381F"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一律ではなく</w:t>
      </w:r>
      <w:r w:rsidR="00890966"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項目を絞って義務付け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して</w:t>
      </w:r>
      <w:r w:rsidR="00890966" w:rsidRPr="00116F8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おり</w:t>
      </w:r>
      <w:r w:rsidR="00890966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、</w:t>
      </w:r>
      <w:r w:rsidR="00CE381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道路から建物までの「</w:t>
      </w:r>
      <w:r w:rsidR="00890966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敷地内の通路</w:t>
      </w:r>
      <w:r w:rsidR="00CE381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」を移動等円滑化経路とする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ことが必要な</w:t>
      </w:r>
      <w:r w:rsidR="00CE381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対象規模</w:t>
      </w:r>
      <w:r w:rsidR="00890966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に関しては、</w:t>
      </w:r>
      <w:r w:rsidR="00890966" w:rsidRPr="003D11B5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2,000㎡以上又は21戸</w:t>
      </w:r>
      <w:r w:rsidR="00890966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以上としている（図1参照）</w:t>
      </w:r>
      <w:r w:rsidR="00CE381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）</w:t>
      </w:r>
    </w:p>
    <w:p w:rsidR="00890966" w:rsidRPr="00CE381F" w:rsidRDefault="00890966" w:rsidP="00890966">
      <w:pPr>
        <w:pStyle w:val="Web"/>
        <w:spacing w:before="0" w:beforeAutospacing="0" w:after="0" w:afterAutospacing="0"/>
        <w:ind w:leftChars="133" w:left="489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</w:p>
    <w:p w:rsidR="00116F85" w:rsidRPr="00116F85" w:rsidRDefault="00116F85" w:rsidP="00116F85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16F8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○戸数や具体の規定すべき基準については、障害者差別解消法の「基本方針」や「ガイドライン等」の動向などを勘案して今後検討する。</w:t>
      </w:r>
    </w:p>
    <w:p w:rsidR="00205115" w:rsidRPr="00B41CE8" w:rsidRDefault="00205115" w:rsidP="00205115">
      <w:pPr>
        <w:pStyle w:val="Web"/>
        <w:spacing w:before="0" w:beforeAutospacing="0" w:after="0" w:afterAutospacing="0"/>
        <w:ind w:leftChars="133" w:left="279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</w:p>
    <w:p w:rsidR="00205115" w:rsidRPr="000F6167" w:rsidRDefault="00205115" w:rsidP="00205115">
      <w:pPr>
        <w:pStyle w:val="Web"/>
        <w:spacing w:before="0" w:beforeAutospacing="0" w:after="0" w:afterAutospacing="0"/>
        <w:ind w:leftChars="133" w:left="279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</w:p>
    <w:p w:rsidR="00CE381F" w:rsidRDefault="00CE381F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:rsidR="001422DD" w:rsidRDefault="00890966" w:rsidP="00030F77">
      <w:pPr>
        <w:pStyle w:val="Web"/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【図１】兵庫県と大阪府の基準比較（抜粋）</w:t>
      </w:r>
    </w:p>
    <w:p w:rsidR="00890966" w:rsidRDefault="00890966" w:rsidP="00030F77">
      <w:pPr>
        <w:pStyle w:val="Web"/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 xml:space="preserve">　</w:t>
      </w: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（</w:t>
      </w:r>
      <w:r w:rsidR="00E901D1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項目において、</w:t>
      </w:r>
      <w:r w:rsidRPr="00951EAA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網掛け部は、大阪府より兵庫県の方</w:t>
      </w:r>
      <w:r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が対象が広い部分。</w:t>
      </w:r>
    </w:p>
    <w:p w:rsidR="00890966" w:rsidRDefault="00890966" w:rsidP="00890966">
      <w:pPr>
        <w:pStyle w:val="Web"/>
        <w:spacing w:before="0" w:beforeAutospacing="0" w:after="0" w:afterAutospacing="0"/>
        <w:ind w:firstLineChars="400" w:firstLine="84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白抜き部分は大阪府の方が対象が広い部分。）</w:t>
      </w:r>
    </w:p>
    <w:tbl>
      <w:tblPr>
        <w:tblStyle w:val="1"/>
        <w:tblpPr w:leftFromText="142" w:rightFromText="142" w:vertAnchor="text" w:tblpXSpec="center" w:tblpY="1"/>
        <w:tblW w:w="10682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678"/>
        <w:gridCol w:w="2410"/>
        <w:gridCol w:w="2352"/>
      </w:tblGrid>
      <w:tr w:rsidR="00216AE0" w:rsidRPr="00216AE0" w:rsidTr="00E901D1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AE0" w:rsidRPr="00216AE0" w:rsidRDefault="00E901D1" w:rsidP="00E901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AE0" w:rsidRPr="00216AE0" w:rsidRDefault="00216AE0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大阪府</w:t>
            </w:r>
          </w:p>
        </w:tc>
        <w:tc>
          <w:tcPr>
            <w:tcW w:w="2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AE0" w:rsidRPr="00216AE0" w:rsidRDefault="00216AE0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兵庫県</w:t>
            </w:r>
          </w:p>
        </w:tc>
      </w:tr>
      <w:tr w:rsidR="00D62A1E" w:rsidRPr="00216AE0" w:rsidTr="00E901D1">
        <w:trPr>
          <w:trHeight w:val="30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一般基準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廊下等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床面の滑りにくい仕上げ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D62A1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2000㎡又は50戸以上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階段</w:t>
            </w:r>
          </w:p>
        </w:tc>
        <w:tc>
          <w:tcPr>
            <w:tcW w:w="46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手すりの設置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床面の滑りにくい仕上げ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段の識別しやすさ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段のつまずきにくさ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傾斜路</w:t>
            </w:r>
          </w:p>
        </w:tc>
        <w:tc>
          <w:tcPr>
            <w:tcW w:w="46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手すりの設置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床面の滑りにくい仕上げ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廊下等との識別しやすさ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移動等円滑化基準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D62A1E" w:rsidRPr="00216AE0" w:rsidRDefault="00692421" w:rsidP="0069242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段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経路上に段が設けられていないか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出入口</w:t>
            </w:r>
          </w:p>
        </w:tc>
        <w:tc>
          <w:tcPr>
            <w:tcW w:w="467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幅80ｃｍ以上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前後に水平部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2000㎡以上</w:t>
            </w:r>
          </w:p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1000㎡かつ21戸以上</w:t>
            </w:r>
          </w:p>
        </w:tc>
      </w:tr>
      <w:tr w:rsidR="00D62A1E" w:rsidRPr="00216AE0" w:rsidTr="00EF1E02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廊下等</w:t>
            </w:r>
          </w:p>
        </w:tc>
        <w:tc>
          <w:tcPr>
            <w:tcW w:w="46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幅120ｃｍ以上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2000㎡以上</w:t>
            </w:r>
          </w:p>
        </w:tc>
      </w:tr>
      <w:tr w:rsidR="00D62A1E" w:rsidRPr="00216AE0" w:rsidTr="00D62A1E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区間50ｍ以内ごとに車いすの転回場所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D62A1E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戸の前後に水平部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傾斜路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幅120ｃｍ以上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勾配は1/12以下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高さ75ｃｍ以内ごとに踏幅150ｃｍ以上の踊場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敷地内の通路</w:t>
            </w:r>
          </w:p>
        </w:tc>
        <w:tc>
          <w:tcPr>
            <w:tcW w:w="46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幅120ｃｍ以上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2000㎡又は21戸以上</w:t>
            </w: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区間50ｍ以内ごとに車いすの転回場所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戸の前後に水平部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（敷地内の傾斜路）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幅120ｃｍ以上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勾配は1/12以下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901D1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高さ75ｃｍ以内ごとに踏幅150ｃｍ以上の踊場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1C6F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62A1E" w:rsidRPr="00216AE0" w:rsidTr="00EF1E02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2A1E" w:rsidRPr="00216AE0" w:rsidRDefault="00D62A1E" w:rsidP="00216AE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敷地内通路の車寄せ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"敷地の特殊性により、「道等」を</w:t>
            </w:r>
          </w:p>
          <w:p w:rsidR="00D62A1E" w:rsidRPr="00216AE0" w:rsidRDefault="00D62A1E" w:rsidP="00216AE0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6A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「当該建築物の車寄せ」からとする"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D62A1E" w:rsidRPr="00216AE0" w:rsidRDefault="00D62A1E" w:rsidP="00216AE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EF1E02" w:rsidRDefault="00EF1E02" w:rsidP="00BD2D45">
      <w:pPr>
        <w:pStyle w:val="Web"/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bookmarkStart w:id="0" w:name="_GoBack"/>
      <w:bookmarkEnd w:id="0"/>
    </w:p>
    <w:p w:rsidR="00C112D9" w:rsidRDefault="00C112D9" w:rsidP="00994489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  <w:szCs w:val="21"/>
        </w:rPr>
      </w:pPr>
    </w:p>
    <w:p w:rsidR="00C112D9" w:rsidRDefault="00C112D9" w:rsidP="00994489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  <w:szCs w:val="21"/>
        </w:rPr>
      </w:pPr>
    </w:p>
    <w:p w:rsidR="00C112D9" w:rsidRDefault="00C112D9" w:rsidP="00994489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  <w:szCs w:val="21"/>
        </w:rPr>
      </w:pPr>
    </w:p>
    <w:p w:rsidR="00C112D9" w:rsidRDefault="00C112D9" w:rsidP="00994489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  <w:szCs w:val="21"/>
        </w:rPr>
      </w:pPr>
    </w:p>
    <w:p w:rsidR="00C112D9" w:rsidRDefault="00C112D9" w:rsidP="00994489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  <w:szCs w:val="21"/>
        </w:rPr>
      </w:pPr>
    </w:p>
    <w:p w:rsidR="00991F77" w:rsidRPr="00C3488F" w:rsidRDefault="00991F77" w:rsidP="00991F77">
      <w:pPr>
        <w:widowControl/>
        <w:jc w:val="left"/>
        <w:rPr>
          <w:rFonts w:asciiTheme="majorEastAsia" w:eastAsiaTheme="majorEastAsia" w:hAnsiTheme="majorEastAsia"/>
          <w:color w:val="FF0000"/>
        </w:rPr>
      </w:pPr>
    </w:p>
    <w:sectPr w:rsidR="00991F77" w:rsidRPr="00C3488F" w:rsidSect="00B41CE8">
      <w:pgSz w:w="11906" w:h="16838" w:code="9"/>
      <w:pgMar w:top="1134" w:right="1134" w:bottom="851" w:left="1418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16" w:rsidRDefault="00CF5B16" w:rsidP="00D1577A">
      <w:r>
        <w:separator/>
      </w:r>
    </w:p>
  </w:endnote>
  <w:endnote w:type="continuationSeparator" w:id="0">
    <w:p w:rsidR="00CF5B16" w:rsidRDefault="00CF5B16" w:rsidP="00D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16" w:rsidRDefault="00CF5B16" w:rsidP="00D1577A">
      <w:r>
        <w:separator/>
      </w:r>
    </w:p>
  </w:footnote>
  <w:footnote w:type="continuationSeparator" w:id="0">
    <w:p w:rsidR="00CF5B16" w:rsidRDefault="00CF5B16" w:rsidP="00D1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B78"/>
    <w:multiLevelType w:val="hybridMultilevel"/>
    <w:tmpl w:val="0E2E6410"/>
    <w:lvl w:ilvl="0" w:tplc="A59E450A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55"/>
    <w:rsid w:val="00030F77"/>
    <w:rsid w:val="00041DE8"/>
    <w:rsid w:val="000B2B0C"/>
    <w:rsid w:val="000F4A7D"/>
    <w:rsid w:val="000F6167"/>
    <w:rsid w:val="000F6A6C"/>
    <w:rsid w:val="0011394E"/>
    <w:rsid w:val="00116F85"/>
    <w:rsid w:val="001321F1"/>
    <w:rsid w:val="00134EF7"/>
    <w:rsid w:val="001422DD"/>
    <w:rsid w:val="001654A3"/>
    <w:rsid w:val="00166A05"/>
    <w:rsid w:val="00192DF8"/>
    <w:rsid w:val="001C6623"/>
    <w:rsid w:val="002036BC"/>
    <w:rsid w:val="00205115"/>
    <w:rsid w:val="00216AE0"/>
    <w:rsid w:val="00262339"/>
    <w:rsid w:val="0028791A"/>
    <w:rsid w:val="002C1784"/>
    <w:rsid w:val="002F6B62"/>
    <w:rsid w:val="00340414"/>
    <w:rsid w:val="003632D3"/>
    <w:rsid w:val="003A3F53"/>
    <w:rsid w:val="003C0C5F"/>
    <w:rsid w:val="003C43BD"/>
    <w:rsid w:val="003D11B5"/>
    <w:rsid w:val="003D2C03"/>
    <w:rsid w:val="003E3DD0"/>
    <w:rsid w:val="003E5414"/>
    <w:rsid w:val="00431EDB"/>
    <w:rsid w:val="004418B5"/>
    <w:rsid w:val="005034EE"/>
    <w:rsid w:val="00503B8D"/>
    <w:rsid w:val="0052166F"/>
    <w:rsid w:val="00522396"/>
    <w:rsid w:val="005419B2"/>
    <w:rsid w:val="00551637"/>
    <w:rsid w:val="0057711F"/>
    <w:rsid w:val="005A479B"/>
    <w:rsid w:val="005B7981"/>
    <w:rsid w:val="005E28EB"/>
    <w:rsid w:val="006116CF"/>
    <w:rsid w:val="006434AC"/>
    <w:rsid w:val="00667FB1"/>
    <w:rsid w:val="00692421"/>
    <w:rsid w:val="00696717"/>
    <w:rsid w:val="006A6552"/>
    <w:rsid w:val="007012B7"/>
    <w:rsid w:val="00711CBB"/>
    <w:rsid w:val="00734897"/>
    <w:rsid w:val="0074217E"/>
    <w:rsid w:val="00767F8B"/>
    <w:rsid w:val="0077766F"/>
    <w:rsid w:val="00784AA1"/>
    <w:rsid w:val="007964EA"/>
    <w:rsid w:val="008021B0"/>
    <w:rsid w:val="00821214"/>
    <w:rsid w:val="00851773"/>
    <w:rsid w:val="00852C6E"/>
    <w:rsid w:val="00860991"/>
    <w:rsid w:val="00862EC7"/>
    <w:rsid w:val="008633C3"/>
    <w:rsid w:val="008853B7"/>
    <w:rsid w:val="00890966"/>
    <w:rsid w:val="00893D26"/>
    <w:rsid w:val="008D77F3"/>
    <w:rsid w:val="008E2A3D"/>
    <w:rsid w:val="008E77A1"/>
    <w:rsid w:val="0090139E"/>
    <w:rsid w:val="00920223"/>
    <w:rsid w:val="009342AA"/>
    <w:rsid w:val="00951EAA"/>
    <w:rsid w:val="0095584D"/>
    <w:rsid w:val="00981C21"/>
    <w:rsid w:val="00991F77"/>
    <w:rsid w:val="00994489"/>
    <w:rsid w:val="009A010B"/>
    <w:rsid w:val="009C11EE"/>
    <w:rsid w:val="009D38BF"/>
    <w:rsid w:val="009D4A2B"/>
    <w:rsid w:val="00A14DDC"/>
    <w:rsid w:val="00AA7160"/>
    <w:rsid w:val="00AC391C"/>
    <w:rsid w:val="00AD570A"/>
    <w:rsid w:val="00AD64B6"/>
    <w:rsid w:val="00B12D18"/>
    <w:rsid w:val="00B41CE8"/>
    <w:rsid w:val="00B55D04"/>
    <w:rsid w:val="00B71DCA"/>
    <w:rsid w:val="00B83159"/>
    <w:rsid w:val="00B9770A"/>
    <w:rsid w:val="00BA4122"/>
    <w:rsid w:val="00BD0456"/>
    <w:rsid w:val="00BD2D45"/>
    <w:rsid w:val="00C112D9"/>
    <w:rsid w:val="00C3488F"/>
    <w:rsid w:val="00C44F70"/>
    <w:rsid w:val="00C609AD"/>
    <w:rsid w:val="00C70D8A"/>
    <w:rsid w:val="00C73C12"/>
    <w:rsid w:val="00CA0EA1"/>
    <w:rsid w:val="00CD22F2"/>
    <w:rsid w:val="00CE381F"/>
    <w:rsid w:val="00CF5B16"/>
    <w:rsid w:val="00D1577A"/>
    <w:rsid w:val="00D2067B"/>
    <w:rsid w:val="00D2690E"/>
    <w:rsid w:val="00D464BE"/>
    <w:rsid w:val="00D62A1E"/>
    <w:rsid w:val="00D8471F"/>
    <w:rsid w:val="00D97F94"/>
    <w:rsid w:val="00DC2855"/>
    <w:rsid w:val="00DC57B0"/>
    <w:rsid w:val="00DF6276"/>
    <w:rsid w:val="00E22D4F"/>
    <w:rsid w:val="00E63106"/>
    <w:rsid w:val="00E901D1"/>
    <w:rsid w:val="00E947C1"/>
    <w:rsid w:val="00EA0E50"/>
    <w:rsid w:val="00EE31E7"/>
    <w:rsid w:val="00EE4FFB"/>
    <w:rsid w:val="00EF1E02"/>
    <w:rsid w:val="00EF280A"/>
    <w:rsid w:val="00EF7C9E"/>
    <w:rsid w:val="00F15B8C"/>
    <w:rsid w:val="00F2110D"/>
    <w:rsid w:val="00F27A84"/>
    <w:rsid w:val="00F47BDD"/>
    <w:rsid w:val="00F93AC0"/>
    <w:rsid w:val="00F95DB9"/>
    <w:rsid w:val="00FB2E44"/>
    <w:rsid w:val="00FB7A23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2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6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7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77A"/>
  </w:style>
  <w:style w:type="paragraph" w:styleId="a7">
    <w:name w:val="footer"/>
    <w:basedOn w:val="a"/>
    <w:link w:val="a8"/>
    <w:uiPriority w:val="99"/>
    <w:unhideWhenUsed/>
    <w:rsid w:val="00D15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77A"/>
  </w:style>
  <w:style w:type="table" w:styleId="a9">
    <w:name w:val="Table Grid"/>
    <w:basedOn w:val="a1"/>
    <w:uiPriority w:val="59"/>
    <w:rsid w:val="00701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216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2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6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7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77A"/>
  </w:style>
  <w:style w:type="paragraph" w:styleId="a7">
    <w:name w:val="footer"/>
    <w:basedOn w:val="a"/>
    <w:link w:val="a8"/>
    <w:uiPriority w:val="99"/>
    <w:unhideWhenUsed/>
    <w:rsid w:val="00D15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77A"/>
  </w:style>
  <w:style w:type="table" w:styleId="a9">
    <w:name w:val="Table Grid"/>
    <w:basedOn w:val="a1"/>
    <w:uiPriority w:val="59"/>
    <w:rsid w:val="00701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216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3D4A-7BC5-4405-A016-E764B6E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大宅　宏之</dc:creator>
  <cp:lastModifiedBy>大宅　宏之</cp:lastModifiedBy>
  <cp:revision>2</cp:revision>
  <cp:lastPrinted>2013-10-24T06:42:00Z</cp:lastPrinted>
  <dcterms:created xsi:type="dcterms:W3CDTF">2013-10-29T04:07:00Z</dcterms:created>
  <dcterms:modified xsi:type="dcterms:W3CDTF">2013-10-29T04:07:00Z</dcterms:modified>
</cp:coreProperties>
</file>