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78" w:rsidRPr="00550ECC" w:rsidRDefault="002F0978" w:rsidP="002F0978">
      <w:pPr>
        <w:pStyle w:val="Web"/>
        <w:wordWrap w:val="0"/>
        <w:snapToGrid w:val="0"/>
        <w:spacing w:before="0" w:beforeAutospacing="0" w:after="0" w:afterAutospacing="0" w:line="240" w:lineRule="atLeast"/>
        <w:contextualSpacing/>
        <w:jc w:val="right"/>
        <w:rPr>
          <w:sz w:val="22"/>
        </w:rPr>
      </w:pPr>
      <w:r>
        <w:rPr>
          <w:rFonts w:cstheme="minorBidi" w:hint="eastAsia"/>
          <w:b/>
          <w:bCs/>
          <w:noProof/>
          <w:color w:val="FFFFFF" w:themeColor="background1"/>
          <w:kern w:val="24"/>
          <w:sz w:val="32"/>
          <w:szCs w:val="32"/>
        </w:rPr>
        <mc:AlternateContent>
          <mc:Choice Requires="wpg">
            <w:drawing>
              <wp:anchor distT="0" distB="0" distL="114300" distR="114300" simplePos="0" relativeHeight="251661312" behindDoc="1" locked="0" layoutInCell="1" allowOverlap="1">
                <wp:simplePos x="0" y="0"/>
                <wp:positionH relativeFrom="column">
                  <wp:posOffset>-47625</wp:posOffset>
                </wp:positionH>
                <wp:positionV relativeFrom="paragraph">
                  <wp:posOffset>-85725</wp:posOffset>
                </wp:positionV>
                <wp:extent cx="6767195" cy="9448800"/>
                <wp:effectExtent l="0" t="0" r="14605" b="19050"/>
                <wp:wrapNone/>
                <wp:docPr id="11" name="グループ化 11"/>
                <wp:cNvGraphicFramePr/>
                <a:graphic xmlns:a="http://schemas.openxmlformats.org/drawingml/2006/main">
                  <a:graphicData uri="http://schemas.microsoft.com/office/word/2010/wordprocessingGroup">
                    <wpg:wgp>
                      <wpg:cNvGrpSpPr/>
                      <wpg:grpSpPr>
                        <a:xfrm>
                          <a:off x="0" y="0"/>
                          <a:ext cx="6767195" cy="9448800"/>
                          <a:chOff x="0" y="0"/>
                          <a:chExt cx="6767195" cy="9448800"/>
                        </a:xfrm>
                      </wpg:grpSpPr>
                      <wps:wsp>
                        <wps:cNvPr id="10" name="テキスト ボックス 4"/>
                        <wps:cNvSpPr txBox="1"/>
                        <wps:spPr>
                          <a:xfrm>
                            <a:off x="1285875" y="0"/>
                            <a:ext cx="4114800" cy="438150"/>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2F0978" w:rsidRPr="00550ECC" w:rsidRDefault="002F0978" w:rsidP="002F0978">
                              <w:pPr>
                                <w:pStyle w:val="Web"/>
                                <w:spacing w:before="0" w:beforeAutospacing="0" w:after="0" w:afterAutospacing="0" w:line="240" w:lineRule="exact"/>
                                <w:rPr>
                                  <w:sz w:val="22"/>
                                </w:rPr>
                              </w:pPr>
                            </w:p>
                          </w:txbxContent>
                        </wps:txbx>
                        <wps:bodyPr wrap="square" rtlCol="0">
                          <a:noAutofit/>
                        </wps:bodyPr>
                      </wps:wsp>
                      <wpg:grpSp>
                        <wpg:cNvPr id="6" name="グループ化 6" descr="見やすいデザインにするための枠です。" title="枠"/>
                        <wpg:cNvGrpSpPr/>
                        <wpg:grpSpPr>
                          <a:xfrm>
                            <a:off x="0" y="114300"/>
                            <a:ext cx="6767195" cy="9334500"/>
                            <a:chOff x="0" y="0"/>
                            <a:chExt cx="6767195" cy="9334500"/>
                          </a:xfrm>
                        </wpg:grpSpPr>
                        <wpg:grpSp>
                          <wpg:cNvPr id="3" name="グループ化 3"/>
                          <wpg:cNvGrpSpPr/>
                          <wpg:grpSpPr>
                            <a:xfrm>
                              <a:off x="0" y="762000"/>
                              <a:ext cx="6767195" cy="8572500"/>
                              <a:chOff x="94593" y="236483"/>
                              <a:chExt cx="6767830" cy="9268277"/>
                            </a:xfrm>
                            <a:noFill/>
                          </wpg:grpSpPr>
                          <wps:wsp>
                            <wps:cNvPr id="16" name="正方形/長方形 15"/>
                            <wps:cNvSpPr/>
                            <wps:spPr>
                              <a:xfrm>
                                <a:off x="94593" y="2141629"/>
                                <a:ext cx="6767830" cy="7363131"/>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wps:wsp>
                            <wps:cNvPr id="8" name="正方形/長方形 7"/>
                            <wps:cNvSpPr/>
                            <wps:spPr>
                              <a:xfrm>
                                <a:off x="94593" y="236483"/>
                                <a:ext cx="6767830" cy="669376"/>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612D7B" w:rsidRDefault="00612D7B" w:rsidP="00612D7B">
                                  <w:pPr>
                                    <w:jc w:val="center"/>
                                  </w:pPr>
                                </w:p>
                              </w:txbxContent>
                            </wps:txbx>
                            <wps:bodyPr rtlCol="0" anchor="ctr">
                              <a:noAutofit/>
                            </wps:bodyPr>
                          </wps:wsp>
                          <wps:wsp>
                            <wps:cNvPr id="19" name="正方形/長方形 18"/>
                            <wps:cNvSpPr/>
                            <wps:spPr>
                              <a:xfrm>
                                <a:off x="94593" y="1283747"/>
                                <a:ext cx="6767830" cy="456257"/>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wps:wsp>
                            <wps:cNvPr id="2" name="角丸四角形 1"/>
                            <wps:cNvSpPr/>
                            <wps:spPr>
                              <a:xfrm>
                                <a:off x="173421" y="2749215"/>
                                <a:ext cx="6508115" cy="5694841"/>
                              </a:xfrm>
                              <a:prstGeom prst="roundRect">
                                <a:avLst>
                                  <a:gd name="adj" fmla="val 3491"/>
                                </a:avLst>
                              </a:prstGeom>
                              <a:grpFill/>
                              <a:ln>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 name="テキスト ボックス 4"/>
                          <wps:cNvSpPr txBox="1"/>
                          <wps:spPr>
                            <a:xfrm>
                              <a:off x="5657850" y="0"/>
                              <a:ext cx="1104265" cy="600075"/>
                            </a:xfrm>
                            <a:prstGeom prst="rect">
                              <a:avLst/>
                            </a:prstGeom>
                            <a:noFill/>
                          </wps:spPr>
                          <wps:style>
                            <a:lnRef idx="2">
                              <a:schemeClr val="dk1"/>
                            </a:lnRef>
                            <a:fillRef idx="1">
                              <a:schemeClr val="lt1"/>
                            </a:fillRef>
                            <a:effectRef idx="0">
                              <a:schemeClr val="dk1"/>
                            </a:effectRef>
                            <a:fontRef idx="minor">
                              <a:schemeClr val="dk1"/>
                            </a:fontRef>
                          </wps:style>
                          <wps:txbx>
                            <w:txbxContent>
                              <w:p w:rsidR="002F0978" w:rsidRPr="00550ECC" w:rsidRDefault="002F0978" w:rsidP="002F0978">
                                <w:pPr>
                                  <w:pStyle w:val="Web"/>
                                  <w:spacing w:before="0" w:beforeAutospacing="0" w:after="0" w:afterAutospacing="0" w:line="240" w:lineRule="exact"/>
                                  <w:rPr>
                                    <w:sz w:val="22"/>
                                  </w:rPr>
                                </w:pPr>
                              </w:p>
                            </w:txbxContent>
                          </wps:txbx>
                          <wps:bodyPr wrap="square" rtlCol="0">
                            <a:noAutofit/>
                          </wps:bodyPr>
                        </wps:wsp>
                      </wpg:grpSp>
                    </wpg:wgp>
                  </a:graphicData>
                </a:graphic>
              </wp:anchor>
            </w:drawing>
          </mc:Choice>
          <mc:Fallback>
            <w:pict>
              <v:group id="グループ化 11" o:spid="_x0000_s1026" style="position:absolute;left:0;text-align:left;margin-left:-3.75pt;margin-top:-6.75pt;width:532.85pt;height:744pt;z-index:-251655168" coordsize="67671,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">
                <v:shapetype id="_x0000_t202" coordsize="21600,21600" o:spt="202" path="m,l,21600r21600,l21600,xe">
                  <v:stroke joinstyle="miter"/>
                  <v:path gradientshapeok="t" o:connecttype="rect"/>
                </v:shapetype>
                <v:shape id="テキスト ボックス 4" o:spid="_x0000_s1027" type="#_x0000_t202" style="position:absolute;left:12858;width:4114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" fillcolor="black [3213]" strokecolor="black [3200]" strokeweight="2pt">
                  <v:textbox>
                    <w:txbxContent>
                      <w:p w:rsidR="002F0978" w:rsidRPr="00550ECC" w:rsidRDefault="002F0978" w:rsidP="002F0978">
                        <w:pPr>
                          <w:pStyle w:val="Web"/>
                          <w:spacing w:before="0" w:beforeAutospacing="0" w:after="0" w:afterAutospacing="0" w:line="240" w:lineRule="exact"/>
                          <w:rPr>
                            <w:sz w:val="22"/>
                          </w:rPr>
                        </w:pPr>
                      </w:p>
                    </w:txbxContent>
                  </v:textbox>
                </v:shape>
                <v:group id="グループ化 6" o:spid="_x0000_s1028" alt="見やすいデザインにするための枠です。" style="position:absolute;top:1143;width:67671;height:93345" coordsize="67671,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3" o:spid="_x0000_s1029" style="position:absolute;top:7620;width:67671;height:85725" coordorigin="945,2364" coordsize="67678,9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5" o:spid="_x0000_s1030" style="position:absolute;left:945;top:21416;width:67679;height:73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" filled="f" strokecolor="#00b050" strokeweight="2pt"/>
                    <v:rect id="正方形/長方形 7" o:spid="_x0000_s1031" style="position:absolute;left:945;top:2364;width:67679;height:6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" filled="f" strokecolor="#00b050" strokeweight="2pt">
                      <v:textbox>
                        <w:txbxContent>
                          <w:p w:rsidR="00612D7B" w:rsidRDefault="00612D7B" w:rsidP="00612D7B">
                            <w:pPr>
                              <w:jc w:val="center"/>
                            </w:pPr>
                          </w:p>
                        </w:txbxContent>
                      </v:textbox>
                    </v:rect>
                    <v:rect id="正方形/長方形 18" o:spid="_x0000_s1032" style="position:absolute;left:945;top:12837;width:67679;height:4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" filled="f" strokecolor="#00b050" strokeweight="2pt"/>
                    <v:roundrect id="角丸四角形 1" o:spid="_x0000_s1033" style="position:absolute;left:1734;top:27492;width:65081;height:56948;visibility:visible;mso-wrap-style:square;v-text-anchor:middle" arcsize="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" filled="f" strokecolor="#243f60 [1604]" strokeweight="2pt">
                      <v:stroke dashstyle="3 1"/>
                    </v:roundrect>
                  </v:group>
                  <v:shape id="テキスト ボックス 4" o:spid="_x0000_s1034" type="#_x0000_t202" style="position:absolute;left:56578;width:1104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" filled="f" strokecolor="black [3200]" strokeweight="2pt">
                    <v:textbox>
                      <w:txbxContent>
                        <w:p w:rsidR="002F0978" w:rsidRPr="00550ECC" w:rsidRDefault="002F0978" w:rsidP="002F0978">
                          <w:pPr>
                            <w:pStyle w:val="Web"/>
                            <w:spacing w:before="0" w:beforeAutospacing="0" w:after="0" w:afterAutospacing="0" w:line="240" w:lineRule="exact"/>
                            <w:rPr>
                              <w:sz w:val="22"/>
                            </w:rPr>
                          </w:pPr>
                        </w:p>
                      </w:txbxContent>
                    </v:textbox>
                  </v:shape>
                </v:group>
              </v:group>
            </w:pict>
          </mc:Fallback>
        </mc:AlternateContent>
      </w:r>
      <w:r w:rsidR="00D84EB1" w:rsidRPr="002F0978">
        <w:rPr>
          <w:rFonts w:cstheme="minorBidi" w:hint="eastAsia"/>
          <w:b/>
          <w:bCs/>
          <w:color w:val="FFFFFF" w:themeColor="background1"/>
          <w:kern w:val="24"/>
          <w:sz w:val="32"/>
          <w:szCs w:val="32"/>
        </w:rPr>
        <w:t>大阪府ユニバーサルデザイン推進指針の概要</w:t>
      </w:r>
      <w:r>
        <w:rPr>
          <w:rFonts w:cstheme="minorBidi" w:hint="eastAsia"/>
          <w:b/>
          <w:bCs/>
          <w:kern w:val="24"/>
          <w:sz w:val="32"/>
          <w:szCs w:val="32"/>
        </w:rPr>
        <w:t xml:space="preserve">　 　　</w:t>
      </w:r>
      <w:r w:rsidRPr="00550ECC">
        <w:rPr>
          <w:rFonts w:cstheme="minorBidi" w:hint="eastAsia"/>
          <w:color w:val="000000" w:themeColor="dark1"/>
          <w:kern w:val="24"/>
          <w:sz w:val="16"/>
          <w:szCs w:val="18"/>
        </w:rPr>
        <w:t>平成３０年６月</w:t>
      </w:r>
      <w:r>
        <w:rPr>
          <w:rFonts w:cstheme="minorBidi" w:hint="eastAsia"/>
          <w:color w:val="000000" w:themeColor="dark1"/>
          <w:kern w:val="24"/>
          <w:sz w:val="16"/>
          <w:szCs w:val="18"/>
        </w:rPr>
        <w:t xml:space="preserve">　　　　</w:t>
      </w:r>
    </w:p>
    <w:p w:rsidR="002F0978" w:rsidRPr="00550ECC" w:rsidRDefault="002F0978" w:rsidP="002F0978">
      <w:pPr>
        <w:pStyle w:val="Web"/>
        <w:wordWrap w:val="0"/>
        <w:snapToGrid w:val="0"/>
        <w:spacing w:before="0" w:beforeAutospacing="0" w:after="0" w:afterAutospacing="0" w:line="240" w:lineRule="exact"/>
        <w:contextualSpacing/>
        <w:jc w:val="right"/>
        <w:rPr>
          <w:rFonts w:cstheme="minorBidi"/>
          <w:color w:val="000000" w:themeColor="dark1"/>
          <w:kern w:val="24"/>
          <w:sz w:val="16"/>
          <w:szCs w:val="18"/>
        </w:rPr>
      </w:pPr>
      <w:r w:rsidRPr="00550ECC">
        <w:rPr>
          <w:rFonts w:cstheme="minorBidi" w:hint="eastAsia"/>
          <w:color w:val="000000" w:themeColor="dark1"/>
          <w:kern w:val="24"/>
          <w:sz w:val="16"/>
          <w:szCs w:val="18"/>
        </w:rPr>
        <w:t>府民文化部、福祉部</w:t>
      </w:r>
    </w:p>
    <w:p w:rsidR="002F0978" w:rsidRPr="00550ECC" w:rsidRDefault="002F0978" w:rsidP="002F0978">
      <w:pPr>
        <w:pStyle w:val="Web"/>
        <w:wordWrap w:val="0"/>
        <w:snapToGrid w:val="0"/>
        <w:spacing w:before="0" w:beforeAutospacing="0" w:after="0" w:afterAutospacing="0" w:line="240" w:lineRule="exact"/>
        <w:contextualSpacing/>
        <w:jc w:val="right"/>
        <w:rPr>
          <w:sz w:val="22"/>
        </w:rPr>
      </w:pPr>
      <w:r w:rsidRPr="00550ECC">
        <w:rPr>
          <w:rFonts w:cstheme="minorBidi" w:hint="eastAsia"/>
          <w:color w:val="000000" w:themeColor="dark1"/>
          <w:kern w:val="24"/>
          <w:sz w:val="16"/>
          <w:szCs w:val="18"/>
        </w:rPr>
        <w:t>住宅まちづくり部</w:t>
      </w:r>
      <w:r>
        <w:rPr>
          <w:rFonts w:cstheme="minorBidi" w:hint="eastAsia"/>
          <w:color w:val="000000" w:themeColor="dark1"/>
          <w:kern w:val="24"/>
          <w:sz w:val="16"/>
          <w:szCs w:val="18"/>
        </w:rPr>
        <w:t xml:space="preserve">　　　</w:t>
      </w:r>
    </w:p>
    <w:p w:rsidR="00D84EB1" w:rsidRPr="00D84EB1" w:rsidRDefault="00F11C81" w:rsidP="002F0978">
      <w:pPr>
        <w:pStyle w:val="Web"/>
        <w:snapToGrid w:val="0"/>
        <w:spacing w:before="0" w:beforeAutospacing="0" w:after="0" w:afterAutospacing="0" w:line="276" w:lineRule="auto"/>
        <w:contextualSpacing/>
        <w:rPr>
          <w:b/>
        </w:rPr>
      </w:pPr>
      <w:r>
        <w:rPr>
          <w:rFonts w:cstheme="minorBidi" w:hint="eastAsia"/>
          <w:noProof/>
          <w:color w:val="000000" w:themeColor="dark1"/>
          <w:kern w:val="24"/>
          <w:sz w:val="16"/>
          <w:szCs w:val="18"/>
        </w:rPr>
        <mc:AlternateContent>
          <mc:Choice Requires="wps">
            <w:drawing>
              <wp:anchor distT="0" distB="0" distL="114300" distR="114300" simplePos="0" relativeHeight="251658752" behindDoc="0" locked="0" layoutInCell="1" allowOverlap="1">
                <wp:simplePos x="0" y="0"/>
                <wp:positionH relativeFrom="column">
                  <wp:posOffset>5657850</wp:posOffset>
                </wp:positionH>
                <wp:positionV relativeFrom="paragraph">
                  <wp:posOffset>98425</wp:posOffset>
                </wp:positionV>
                <wp:extent cx="9715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12700">
                          <a:solidFill>
                            <a:prstClr val="black"/>
                          </a:solidFill>
                        </a:ln>
                      </wps:spPr>
                      <wps:txbx>
                        <w:txbxContent>
                          <w:p w:rsidR="003D331E" w:rsidRPr="003D331E" w:rsidRDefault="003D331E" w:rsidP="003D331E">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資料</w:t>
                            </w:r>
                            <w:r>
                              <w:rPr>
                                <w:rFonts w:asciiTheme="majorEastAsia" w:eastAsiaTheme="majorEastAsia" w:hAnsiTheme="majorEastAsia"/>
                                <w:sz w:val="24"/>
                                <w:szCs w:val="24"/>
                              </w:rPr>
                              <w:t>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5" type="#_x0000_t202" style="position:absolute;margin-left:445.5pt;margin-top:7.75pt;width:76.5pt;height:23.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" fillcolor="white [3201]" strokeweight="1pt">
                <v:textbox>
                  <w:txbxContent>
                    <w:p w:rsidR="003D331E" w:rsidRPr="003D331E" w:rsidRDefault="003D331E" w:rsidP="003D331E">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資料</w:t>
                      </w:r>
                      <w:r>
                        <w:rPr>
                          <w:rFonts w:asciiTheme="majorEastAsia" w:eastAsiaTheme="majorEastAsia" w:hAnsiTheme="majorEastAsia"/>
                          <w:sz w:val="24"/>
                          <w:szCs w:val="24"/>
                        </w:rPr>
                        <w:t>５－１</w:t>
                      </w:r>
                    </w:p>
                  </w:txbxContent>
                </v:textbox>
              </v:shape>
            </w:pict>
          </mc:Fallback>
        </mc:AlternateContent>
      </w:r>
      <w:r w:rsidR="00D84EB1" w:rsidRPr="00D84EB1">
        <w:rPr>
          <w:rFonts w:cstheme="minorBidi" w:hint="eastAsia"/>
          <w:b/>
          <w:color w:val="000000" w:themeColor="text1"/>
          <w:kern w:val="24"/>
        </w:rPr>
        <w:t>策定の背景</w:t>
      </w:r>
      <w:bookmarkStart w:id="0" w:name="_GoBack"/>
      <w:bookmarkEnd w:id="0"/>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○インバウンドや在留外国人の増加、高齢化の進展　等</w:t>
      </w:r>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w:t>
      </w:r>
      <w:r w:rsidRPr="00D84EB1">
        <w:rPr>
          <w:rFonts w:cstheme="minorBidi"/>
          <w:color w:val="000000" w:themeColor="text1"/>
          <w:kern w:val="24"/>
          <w:sz w:val="22"/>
        </w:rPr>
        <w:t>2020</w:t>
      </w:r>
      <w:r w:rsidRPr="00D84EB1">
        <w:rPr>
          <w:rFonts w:cstheme="minorBidi" w:hint="eastAsia"/>
          <w:color w:val="000000" w:themeColor="text1"/>
          <w:kern w:val="24"/>
          <w:sz w:val="22"/>
        </w:rPr>
        <w:t>東京オリンピック・パラリンピックの開催、</w:t>
      </w:r>
      <w:r w:rsidRPr="00D84EB1">
        <w:rPr>
          <w:rFonts w:cstheme="minorBidi"/>
          <w:color w:val="000000" w:themeColor="text1"/>
          <w:kern w:val="24"/>
          <w:sz w:val="22"/>
        </w:rPr>
        <w:t>2025</w:t>
      </w:r>
      <w:r w:rsidRPr="00D84EB1">
        <w:rPr>
          <w:rFonts w:cstheme="minorBidi" w:hint="eastAsia"/>
          <w:color w:val="000000" w:themeColor="text1"/>
          <w:kern w:val="24"/>
          <w:sz w:val="22"/>
        </w:rPr>
        <w:t>年国際博覧会の大阪誘致</w:t>
      </w:r>
    </w:p>
    <w:p w:rsidR="00D84EB1" w:rsidRDefault="00D84EB1" w:rsidP="002F0978">
      <w:pPr>
        <w:pStyle w:val="Web"/>
        <w:snapToGrid w:val="0"/>
        <w:spacing w:before="0" w:beforeAutospacing="0" w:after="0" w:afterAutospacing="0" w:line="300" w:lineRule="exact"/>
        <w:ind w:left="440" w:hangingChars="200" w:hanging="440"/>
        <w:contextualSpacing/>
        <w:rPr>
          <w:rFonts w:cstheme="minorBidi"/>
          <w:color w:val="000000" w:themeColor="text1"/>
          <w:kern w:val="24"/>
          <w:sz w:val="22"/>
        </w:rPr>
      </w:pPr>
      <w:r w:rsidRPr="00D84EB1">
        <w:rPr>
          <w:rFonts w:cstheme="minorBidi" w:hint="eastAsia"/>
          <w:color w:val="000000" w:themeColor="text1"/>
          <w:kern w:val="24"/>
          <w:sz w:val="22"/>
        </w:rPr>
        <w:t xml:space="preserve">　⇒誰もが暮らしやすく、訪れやすい、そして誰もが活躍できる「ユニバーサルデザイン社会・大阪」をめざす</w:t>
      </w:r>
    </w:p>
    <w:p w:rsidR="00D84EB1" w:rsidRDefault="00D84EB1" w:rsidP="00D84EB1">
      <w:pPr>
        <w:pStyle w:val="Web"/>
        <w:snapToGrid w:val="0"/>
        <w:spacing w:before="0" w:beforeAutospacing="0" w:after="0" w:afterAutospacing="0" w:line="300" w:lineRule="exact"/>
        <w:ind w:leftChars="100" w:left="650" w:hangingChars="200" w:hanging="440"/>
        <w:contextualSpacing/>
        <w:rPr>
          <w:rFonts w:cstheme="minorBidi"/>
          <w:color w:val="000000" w:themeColor="text1"/>
          <w:kern w:val="24"/>
          <w:sz w:val="22"/>
        </w:rPr>
      </w:pPr>
    </w:p>
    <w:p w:rsidR="00491E8C" w:rsidRPr="00D84EB1" w:rsidRDefault="007602BC" w:rsidP="002F0978">
      <w:pPr>
        <w:pStyle w:val="Web"/>
        <w:snapToGrid w:val="0"/>
        <w:spacing w:before="0" w:beforeAutospacing="0" w:after="0" w:afterAutospacing="0" w:line="276" w:lineRule="auto"/>
        <w:contextualSpacing/>
        <w:rPr>
          <w:rFonts w:cstheme="minorBidi"/>
          <w:b/>
          <w:color w:val="000000" w:themeColor="text1"/>
          <w:kern w:val="24"/>
        </w:rPr>
      </w:pPr>
      <w:r w:rsidRPr="00D84EB1">
        <w:rPr>
          <w:rFonts w:cstheme="minorBidi" w:hint="eastAsia"/>
          <w:b/>
          <w:color w:val="000000" w:themeColor="text1"/>
          <w:kern w:val="24"/>
        </w:rPr>
        <w:t>指針の位置づけ</w:t>
      </w:r>
    </w:p>
    <w:p w:rsidR="007602BC" w:rsidRDefault="007602BC" w:rsidP="002F0978">
      <w:pPr>
        <w:pStyle w:val="Web"/>
        <w:snapToGrid w:val="0"/>
        <w:spacing w:before="0" w:beforeAutospacing="0" w:after="240" w:afterAutospacing="0"/>
        <w:contextualSpacing/>
        <w:rPr>
          <w:rFonts w:cstheme="minorBidi"/>
          <w:color w:val="000000" w:themeColor="text1"/>
          <w:kern w:val="24"/>
          <w:sz w:val="22"/>
        </w:rPr>
      </w:pPr>
      <w:r w:rsidRPr="00D84EB1">
        <w:rPr>
          <w:rFonts w:cstheme="minorBidi" w:hint="eastAsia"/>
          <w:color w:val="000000" w:themeColor="text1"/>
          <w:kern w:val="24"/>
          <w:sz w:val="22"/>
        </w:rPr>
        <w:t>「ユニバーサルデザイン社会」の実現のため、大阪府で実施している取組みを、国の行動計画(※)をもとに「心のバリアフリー」と「ユニバーサルデザインのまちづくり」の柱に沿って整理し、行政分野を越えてとりまとめたもの</w:t>
      </w:r>
    </w:p>
    <w:p w:rsidR="00D84EB1" w:rsidRPr="00D84EB1" w:rsidRDefault="00D84EB1" w:rsidP="00D84EB1">
      <w:pPr>
        <w:pStyle w:val="Web"/>
        <w:snapToGrid w:val="0"/>
        <w:spacing w:before="0" w:beforeAutospacing="0" w:after="240" w:afterAutospacing="0"/>
        <w:ind w:leftChars="100" w:left="210"/>
        <w:contextualSpacing/>
        <w:rPr>
          <w:rFonts w:cstheme="minorBidi"/>
          <w:color w:val="000000" w:themeColor="text1"/>
          <w:kern w:val="24"/>
          <w:sz w:val="22"/>
        </w:rPr>
      </w:pPr>
    </w:p>
    <w:p w:rsidR="007602BC" w:rsidRPr="00D84EB1" w:rsidRDefault="007602BC" w:rsidP="002F0978">
      <w:pPr>
        <w:pStyle w:val="Web"/>
        <w:snapToGrid w:val="0"/>
        <w:spacing w:before="0" w:beforeAutospacing="0" w:after="0" w:afterAutospacing="0" w:line="276" w:lineRule="auto"/>
        <w:contextualSpacing/>
        <w:rPr>
          <w:rFonts w:cstheme="minorBidi"/>
          <w:b/>
          <w:color w:val="000000" w:themeColor="text1"/>
          <w:kern w:val="24"/>
        </w:rPr>
      </w:pPr>
      <w:r w:rsidRPr="00D84EB1">
        <w:rPr>
          <w:rFonts w:cstheme="minorBidi" w:hint="eastAsia"/>
          <w:b/>
          <w:color w:val="000000" w:themeColor="text1"/>
          <w:kern w:val="24"/>
        </w:rPr>
        <w:t>府におけるユニバーサルデザインの取組み</w:t>
      </w:r>
    </w:p>
    <w:p w:rsidR="007602BC" w:rsidRPr="007602BC" w:rsidRDefault="007602BC" w:rsidP="002F0978">
      <w:pPr>
        <w:pStyle w:val="Web"/>
        <w:snapToGrid w:val="0"/>
        <w:spacing w:before="0" w:beforeAutospacing="0" w:after="0" w:afterAutospacing="0"/>
        <w:contextualSpacing/>
        <w:rPr>
          <w:rFonts w:cstheme="minorBidi"/>
          <w:color w:val="000000" w:themeColor="text1"/>
          <w:kern w:val="24"/>
          <w:sz w:val="22"/>
        </w:rPr>
      </w:pPr>
      <w:r w:rsidRPr="007602BC">
        <w:rPr>
          <w:rFonts w:cstheme="minorBidi" w:hint="eastAsia"/>
          <w:color w:val="000000" w:themeColor="text1"/>
          <w:kern w:val="24"/>
          <w:sz w:val="22"/>
        </w:rPr>
        <w:t>○具体的な取組み</w:t>
      </w:r>
    </w:p>
    <w:p w:rsidR="007602BC" w:rsidRPr="007602BC" w:rsidRDefault="007602BC" w:rsidP="002F0978">
      <w:pPr>
        <w:pStyle w:val="Web"/>
        <w:snapToGrid w:val="0"/>
        <w:spacing w:before="0" w:beforeAutospacing="0" w:after="0" w:afterAutospacing="0"/>
        <w:contextualSpacing/>
        <w:rPr>
          <w:rFonts w:cstheme="minorBidi"/>
          <w:color w:val="000000" w:themeColor="text1"/>
          <w:kern w:val="24"/>
          <w:sz w:val="22"/>
        </w:rPr>
      </w:pPr>
      <w:r w:rsidRPr="007602BC">
        <w:rPr>
          <w:rFonts w:cstheme="minorBidi" w:hint="eastAsia"/>
          <w:color w:val="000000" w:themeColor="text1"/>
          <w:kern w:val="24"/>
          <w:sz w:val="22"/>
        </w:rPr>
        <w:t xml:space="preserve">　　・国の行動計画の考え方を基本的な指針として、具体的な取組みを進める</w:t>
      </w:r>
    </w:p>
    <w:p w:rsidR="007602BC" w:rsidRPr="00D84EB1" w:rsidRDefault="00D84EB1" w:rsidP="002F0978">
      <w:pPr>
        <w:pStyle w:val="Web"/>
        <w:snapToGrid w:val="0"/>
        <w:spacing w:before="0" w:beforeAutospacing="0" w:after="0" w:afterAutospacing="0" w:line="360" w:lineRule="auto"/>
        <w:contextualSpacing/>
        <w:rPr>
          <w:rFonts w:cstheme="minorBidi"/>
          <w:color w:val="000000" w:themeColor="text1"/>
          <w:kern w:val="24"/>
        </w:rPr>
      </w:pPr>
      <w:r w:rsidRPr="00D84EB1">
        <w:rPr>
          <w:rFonts w:cstheme="minorBidi" w:hint="eastAsia"/>
          <w:color w:val="000000" w:themeColor="text1"/>
          <w:kern w:val="24"/>
        </w:rPr>
        <w:t>【府の基本的な指針（要約）】</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１　心のバリアフリー</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 xml:space="preserve">　　</w:t>
      </w:r>
      <w:r w:rsidRPr="0067487C">
        <w:rPr>
          <w:rFonts w:cs="ＭＳ 明朝" w:hint="eastAsia"/>
          <w:color w:val="000000" w:themeColor="text1"/>
          <w:kern w:val="24"/>
          <w:sz w:val="22"/>
          <w:szCs w:val="22"/>
          <w:u w:val="single"/>
        </w:rPr>
        <w:t>Ⅰ</w:t>
      </w:r>
      <w:r w:rsidRPr="0067487C">
        <w:rPr>
          <w:rFonts w:cstheme="minorBidi" w:hint="eastAsia"/>
          <w:color w:val="000000" w:themeColor="text1"/>
          <w:kern w:val="24"/>
          <w:sz w:val="22"/>
          <w:szCs w:val="22"/>
          <w:u w:val="single"/>
        </w:rPr>
        <w:t xml:space="preserve">　学校教育におけるユニバーサルデザイン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・幼児期から青年期の発達段階に応じた、切れ目ない「心のバリアフリー」の教育を展開する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・「障がいの社会モデル」を踏まえ、差別や排除の行動を行わず、お互いの良さを認め合い協働していく力を養う</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Ⅱ</w:t>
      </w:r>
      <w:r w:rsidRPr="0067487C">
        <w:rPr>
          <w:rFonts w:cstheme="minorBidi" w:hint="eastAsia"/>
          <w:color w:val="000000" w:themeColor="text1"/>
          <w:kern w:val="24"/>
          <w:sz w:val="22"/>
          <w:szCs w:val="22"/>
          <w:u w:val="single"/>
        </w:rPr>
        <w:t xml:space="preserve">　企業・行政等におけるユニバーサルデザイン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・障がいのある人を含め多様な人材を活かし、その価値観を取り込んだ企業活動を展開することが重要</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・幅広い分野の企業が、経営者から現場の社員まで一体となって「心のバリアフリー」に取り組むことが期待される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Ⅲ</w:t>
      </w:r>
      <w:r w:rsidRPr="0067487C">
        <w:rPr>
          <w:rFonts w:cstheme="minorBidi" w:hint="eastAsia"/>
          <w:color w:val="000000" w:themeColor="text1"/>
          <w:kern w:val="24"/>
          <w:sz w:val="22"/>
          <w:szCs w:val="22"/>
          <w:u w:val="single"/>
        </w:rPr>
        <w:t xml:space="preserve">　地域におけるユニバーサルデザイン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・生活のあらゆる場面で、障がいのある人もない人もお互いに「心のバリアフリー」を体現していなくてはならない</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・障がいのある人が生活する地域における切れ目のない持続可能な取組みが展開される必要がある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Ⅳ</w:t>
      </w:r>
      <w:r w:rsidRPr="0067487C">
        <w:rPr>
          <w:rFonts w:cstheme="minorBidi" w:hint="eastAsia"/>
          <w:color w:val="000000" w:themeColor="text1"/>
          <w:kern w:val="24"/>
          <w:sz w:val="22"/>
          <w:szCs w:val="22"/>
          <w:u w:val="single"/>
        </w:rPr>
        <w:t xml:space="preserve">　その他</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・学校、企業に属さない、また、地域の取組に興味関心の薄い層等へも働きかける必要がある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・障がいのある人自身やその家族が、自らの障がいを理解し、社会的障壁を取り除く方法を相手に伝えることが</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 xml:space="preserve">　できるコミュニケーションスキルを身に付けることが重要である</w:t>
      </w:r>
    </w:p>
    <w:p w:rsidR="00D84EB1" w:rsidRPr="00D84EB1" w:rsidRDefault="00D84EB1" w:rsidP="00D84EB1">
      <w:pPr>
        <w:widowControl/>
        <w:snapToGrid w:val="0"/>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4"/>
          <w:szCs w:val="24"/>
        </w:rPr>
        <w:t>２　ユニバーサルデザインのまちづくり</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Ⅰ</w:t>
      </w:r>
      <w:r w:rsidRPr="00D84EB1">
        <w:rPr>
          <w:rFonts w:ascii="ＭＳ Ｐゴシック" w:eastAsia="ＭＳ Ｐゴシック" w:hAnsi="ＭＳ Ｐゴシック" w:hint="eastAsia"/>
          <w:color w:val="000000" w:themeColor="text1"/>
          <w:kern w:val="24"/>
          <w:sz w:val="22"/>
          <w:u w:val="single"/>
        </w:rPr>
        <w:t xml:space="preserve">　施設整備基準によるバリアフリー化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・法や条例の施設整備基準に基づいた、交通施設・建築施設のバリアフリー化推進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Ⅱ</w:t>
      </w:r>
      <w:r w:rsidRPr="00D84EB1">
        <w:rPr>
          <w:rFonts w:ascii="ＭＳ Ｐゴシック" w:eastAsia="ＭＳ Ｐゴシック" w:hAnsi="ＭＳ Ｐゴシック" w:hint="eastAsia"/>
          <w:color w:val="000000" w:themeColor="text1"/>
          <w:kern w:val="24"/>
          <w:sz w:val="22"/>
          <w:u w:val="single"/>
        </w:rPr>
        <w:t xml:space="preserve">　観光地のバリアフリー化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・観光地エリア全体の面的なバリアフリーの推進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Ⅲ</w:t>
      </w:r>
      <w:r w:rsidRPr="00D84EB1">
        <w:rPr>
          <w:rFonts w:ascii="ＭＳ Ｐゴシック" w:eastAsia="ＭＳ Ｐゴシック" w:hAnsi="ＭＳ Ｐゴシック" w:hint="eastAsia"/>
          <w:color w:val="000000" w:themeColor="text1"/>
          <w:kern w:val="24"/>
          <w:sz w:val="22"/>
          <w:u w:val="single"/>
        </w:rPr>
        <w:t xml:space="preserve">　都市部等における複合施設（大規模駅や地下街等）を中心とした面的なバリアフリーの推進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・誰もがスムーズに移動でき、暮らしやすいまちづくりのため、鉄道駅ターミナル等地域の中核施設を中心とした、</w:t>
      </w:r>
    </w:p>
    <w:p w:rsidR="00D84EB1" w:rsidRPr="00D84EB1" w:rsidRDefault="00D84EB1" w:rsidP="00D84EB1">
      <w:pPr>
        <w:widowControl/>
        <w:snapToGrid w:val="0"/>
        <w:spacing w:line="300" w:lineRule="exact"/>
        <w:ind w:leftChars="100" w:left="210"/>
        <w:contextualSpacing/>
        <w:jc w:val="left"/>
        <w:rPr>
          <w:rFonts w:ascii="ＭＳ Ｐ明朝" w:eastAsia="ＭＳ Ｐ明朝" w:hAnsi="ＭＳ Ｐ明朝"/>
          <w:color w:val="000000" w:themeColor="text1"/>
          <w:kern w:val="24"/>
          <w:sz w:val="20"/>
          <w:szCs w:val="20"/>
        </w:rPr>
      </w:pPr>
      <w:r w:rsidRPr="00D84EB1">
        <w:rPr>
          <w:rFonts w:ascii="ＭＳ Ｐ明朝" w:eastAsia="ＭＳ Ｐ明朝" w:hAnsi="ＭＳ Ｐ明朝" w:hint="eastAsia"/>
          <w:color w:val="000000" w:themeColor="text1"/>
          <w:kern w:val="24"/>
          <w:sz w:val="20"/>
          <w:szCs w:val="20"/>
        </w:rPr>
        <w:t xml:space="preserve">　　　　　　連続的かつ面的なバリアフリー推進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Ⅳ</w:t>
      </w:r>
      <w:r w:rsidRPr="00D84EB1">
        <w:rPr>
          <w:rFonts w:ascii="ＭＳ Ｐゴシック" w:eastAsia="ＭＳ Ｐゴシック" w:hAnsi="ＭＳ Ｐゴシック" w:hint="eastAsia"/>
          <w:color w:val="000000" w:themeColor="text1"/>
          <w:kern w:val="24"/>
          <w:sz w:val="22"/>
          <w:u w:val="single"/>
        </w:rPr>
        <w:t xml:space="preserve">　公共交通機関等のバリアフリー化</w:t>
      </w:r>
    </w:p>
    <w:p w:rsidR="00D84EB1" w:rsidRPr="00D84EB1" w:rsidRDefault="00D84EB1" w:rsidP="00D84EB1">
      <w:pPr>
        <w:widowControl/>
        <w:tabs>
          <w:tab w:val="left" w:pos="565"/>
        </w:tabs>
        <w:snapToGrid w:val="0"/>
        <w:spacing w:line="300" w:lineRule="exact"/>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・公共交通機関及び周辺エリアのバリアフリー化推進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Ⅴ</w:t>
      </w:r>
      <w:r w:rsidRPr="00D84EB1">
        <w:rPr>
          <w:rFonts w:ascii="ＭＳ Ｐゴシック" w:eastAsia="ＭＳ Ｐゴシック" w:hAnsi="ＭＳ Ｐゴシック" w:hint="eastAsia"/>
          <w:color w:val="000000" w:themeColor="text1"/>
          <w:kern w:val="24"/>
          <w:sz w:val="22"/>
          <w:u w:val="single"/>
        </w:rPr>
        <w:t xml:space="preserve">　ＩＣＴを活用したきめ細かい情報発信、行動支援</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 xml:space="preserve">　・情報バリアフリー実現の観点から、従前の案内表示や情報提供の充実に加え、ICTを活用した環境整備推進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Ⅵ</w:t>
      </w:r>
      <w:r w:rsidRPr="00D84EB1">
        <w:rPr>
          <w:rFonts w:ascii="ＭＳ Ｐゴシック" w:eastAsia="ＭＳ Ｐゴシック" w:hAnsi="ＭＳ Ｐゴシック" w:hint="eastAsia"/>
          <w:color w:val="000000" w:themeColor="text1"/>
          <w:kern w:val="24"/>
          <w:sz w:val="22"/>
          <w:u w:val="single"/>
        </w:rPr>
        <w:t xml:space="preserve">　トイレの利用環境の改善</w:t>
      </w:r>
    </w:p>
    <w:p w:rsidR="00D84EB1" w:rsidRPr="00D84EB1" w:rsidRDefault="00D84EB1" w:rsidP="002F0978">
      <w:pPr>
        <w:widowControl/>
        <w:tabs>
          <w:tab w:val="left" w:pos="565"/>
        </w:tabs>
        <w:snapToGrid w:val="0"/>
        <w:spacing w:line="360" w:lineRule="auto"/>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・様々な移動制約を持つ人にとって利用しやすいトイレ環境の整備を図る</w:t>
      </w:r>
    </w:p>
    <w:p w:rsidR="00D84EB1" w:rsidRPr="00D84EB1" w:rsidRDefault="00D84EB1" w:rsidP="002F0978">
      <w:pPr>
        <w:pStyle w:val="Web"/>
        <w:snapToGrid w:val="0"/>
        <w:spacing w:before="0" w:beforeAutospacing="0" w:after="0" w:afterAutospacing="0"/>
        <w:contextualSpacing/>
        <w:rPr>
          <w:rFonts w:cstheme="minorBidi"/>
          <w:color w:val="000000" w:themeColor="text1"/>
          <w:kern w:val="24"/>
          <w:sz w:val="22"/>
        </w:rPr>
      </w:pPr>
      <w:r w:rsidRPr="00D84EB1">
        <w:rPr>
          <w:rFonts w:cstheme="minorBidi" w:hint="eastAsia"/>
          <w:color w:val="000000" w:themeColor="text1"/>
          <w:kern w:val="24"/>
          <w:sz w:val="22"/>
        </w:rPr>
        <w:t>○取組方針</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国、市町村、関係団体等との連携</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府民の理解促進</w:t>
      </w:r>
    </w:p>
    <w:p w:rsidR="00D84EB1" w:rsidRPr="00D84EB1" w:rsidRDefault="00D84EB1" w:rsidP="002F0978">
      <w:pPr>
        <w:widowControl/>
        <w:snapToGrid w:val="0"/>
        <w:spacing w:line="300" w:lineRule="exact"/>
        <w:ind w:left="418" w:hanging="418"/>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○進行管理</w:t>
      </w:r>
    </w:p>
    <w:p w:rsidR="002F0978" w:rsidRDefault="00D84EB1" w:rsidP="002F0978">
      <w:pPr>
        <w:widowControl/>
        <w:snapToGrid w:val="0"/>
        <w:spacing w:after="240" w:line="300" w:lineRule="exact"/>
        <w:ind w:left="440" w:hangingChars="200" w:hanging="440"/>
        <w:contextualSpacing/>
        <w:jc w:val="left"/>
        <w:rPr>
          <w:rFonts w:ascii="ＭＳ Ｐゴシック" w:eastAsia="ＭＳ Ｐゴシック" w:hAnsi="ＭＳ Ｐゴシック"/>
          <w:color w:val="000000" w:themeColor="text1"/>
          <w:kern w:val="24"/>
          <w:sz w:val="22"/>
          <w:szCs w:val="24"/>
        </w:rPr>
      </w:pPr>
      <w:r w:rsidRPr="00D84EB1">
        <w:rPr>
          <w:rFonts w:ascii="ＭＳ Ｐゴシック" w:eastAsia="ＭＳ Ｐゴシック" w:hAnsi="ＭＳ Ｐゴシック" w:hint="eastAsia"/>
          <w:color w:val="000000" w:themeColor="text1"/>
          <w:kern w:val="24"/>
          <w:sz w:val="22"/>
          <w:szCs w:val="24"/>
        </w:rPr>
        <w:t xml:space="preserve">　　・「ユニバーサルデザイン推進指針庁内連絡会議」を設置し、各部局の取組状況を共有・意見交換</w:t>
      </w:r>
    </w:p>
    <w:p w:rsidR="00D84EB1" w:rsidRPr="002F0978" w:rsidRDefault="00D84EB1" w:rsidP="002F0978">
      <w:pPr>
        <w:widowControl/>
        <w:snapToGrid w:val="0"/>
        <w:spacing w:after="240" w:line="300" w:lineRule="exact"/>
        <w:ind w:left="283" w:hangingChars="177" w:hanging="283"/>
        <w:contextualSpacing/>
        <w:jc w:val="left"/>
        <w:rPr>
          <w:rFonts w:ascii="ＭＳ Ｐゴシック" w:eastAsia="ＭＳ Ｐゴシック" w:hAnsi="ＭＳ Ｐゴシック" w:cs="ＭＳ Ｐゴシック"/>
          <w:kern w:val="0"/>
          <w:sz w:val="22"/>
          <w:szCs w:val="24"/>
        </w:rPr>
      </w:pPr>
      <w:r>
        <w:rPr>
          <w:rFonts w:hAnsi="Century"/>
          <w:color w:val="000000" w:themeColor="text1"/>
          <w:kern w:val="24"/>
          <w:sz w:val="16"/>
          <w:szCs w:val="16"/>
        </w:rPr>
        <w:t>(</w:t>
      </w:r>
      <w:r>
        <w:rPr>
          <w:rFonts w:ascii="ＭＳ 明朝" w:eastAsia="ＭＳ 明朝" w:hAnsi="ＭＳ 明朝" w:cs="ＭＳ 明朝" w:hint="eastAsia"/>
          <w:color w:val="000000" w:themeColor="text1"/>
          <w:kern w:val="24"/>
          <w:sz w:val="16"/>
          <w:szCs w:val="16"/>
        </w:rPr>
        <w:t>※</w:t>
      </w:r>
      <w:r>
        <w:rPr>
          <w:rFonts w:hAnsi="Century"/>
          <w:color w:val="000000" w:themeColor="text1"/>
          <w:kern w:val="24"/>
          <w:sz w:val="16"/>
          <w:szCs w:val="16"/>
        </w:rPr>
        <w:t>)</w:t>
      </w:r>
      <w:r>
        <w:rPr>
          <w:rFonts w:hAnsi="ＭＳ 明朝" w:hint="eastAsia"/>
          <w:color w:val="000000" w:themeColor="text1"/>
          <w:kern w:val="24"/>
          <w:sz w:val="16"/>
          <w:szCs w:val="16"/>
        </w:rPr>
        <w:t>東京オリンピック競技大会・東京パラリンピック競技大会の成功と、大会レガシーとしての共生社会に向けた政府の行動計画である「ユニバーサルデザイン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行動計画」（平成</w:t>
      </w:r>
      <w:r>
        <w:rPr>
          <w:rFonts w:hAnsi="Century"/>
          <w:color w:val="000000" w:themeColor="text1"/>
          <w:kern w:val="24"/>
          <w:sz w:val="16"/>
          <w:szCs w:val="16"/>
        </w:rPr>
        <w:t>29</w:t>
      </w:r>
      <w:r>
        <w:rPr>
          <w:rFonts w:hAnsi="ＭＳ 明朝" w:hint="eastAsia"/>
          <w:color w:val="000000" w:themeColor="text1"/>
          <w:kern w:val="24"/>
          <w:sz w:val="16"/>
          <w:szCs w:val="16"/>
        </w:rPr>
        <w:t>年</w:t>
      </w:r>
      <w:r>
        <w:rPr>
          <w:rFonts w:hAnsi="Century"/>
          <w:color w:val="000000" w:themeColor="text1"/>
          <w:kern w:val="24"/>
          <w:sz w:val="16"/>
          <w:szCs w:val="16"/>
        </w:rPr>
        <w:t>2</w:t>
      </w:r>
      <w:r>
        <w:rPr>
          <w:rFonts w:hAnsi="ＭＳ 明朝" w:hint="eastAsia"/>
          <w:color w:val="000000" w:themeColor="text1"/>
          <w:kern w:val="24"/>
          <w:sz w:val="16"/>
          <w:szCs w:val="16"/>
        </w:rPr>
        <w:t>月</w:t>
      </w:r>
      <w:r>
        <w:rPr>
          <w:rFonts w:hAnsi="Century"/>
          <w:color w:val="000000" w:themeColor="text1"/>
          <w:kern w:val="24"/>
          <w:sz w:val="16"/>
          <w:szCs w:val="16"/>
        </w:rPr>
        <w:t>20</w:t>
      </w:r>
      <w:r>
        <w:rPr>
          <w:rFonts w:hAnsi="ＭＳ 明朝" w:hint="eastAsia"/>
          <w:color w:val="000000" w:themeColor="text1"/>
          <w:kern w:val="24"/>
          <w:sz w:val="16"/>
          <w:szCs w:val="16"/>
        </w:rPr>
        <w:t>日ユニバーサルデザイン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関係閣僚会議決定）</w:t>
      </w:r>
    </w:p>
    <w:sectPr w:rsidR="00D84EB1" w:rsidRPr="002F0978" w:rsidSect="00491E8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8C"/>
    <w:rsid w:val="002F0978"/>
    <w:rsid w:val="003D331E"/>
    <w:rsid w:val="00491E8C"/>
    <w:rsid w:val="00612D7B"/>
    <w:rsid w:val="007602BC"/>
    <w:rsid w:val="00C80725"/>
    <w:rsid w:val="00D84EB1"/>
    <w:rsid w:val="00E022D5"/>
    <w:rsid w:val="00E2267F"/>
    <w:rsid w:val="00F00983"/>
    <w:rsid w:val="00F1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741D1"/>
  <w15:docId w15:val="{DB051045-2480-41C5-A1CC-B172B0C3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E8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84EB1"/>
  </w:style>
  <w:style w:type="character" w:customStyle="1" w:styleId="a6">
    <w:name w:val="日付 (文字)"/>
    <w:basedOn w:val="a0"/>
    <w:link w:val="a5"/>
    <w:uiPriority w:val="99"/>
    <w:semiHidden/>
    <w:rsid w:val="00D8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　めぐみ</dc:creator>
  <cp:lastModifiedBy>塩田　萌</cp:lastModifiedBy>
  <cp:revision>5</cp:revision>
  <dcterms:created xsi:type="dcterms:W3CDTF">2018-12-18T03:14:00Z</dcterms:created>
  <dcterms:modified xsi:type="dcterms:W3CDTF">2018-12-18T04:33:00Z</dcterms:modified>
</cp:coreProperties>
</file>