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878" w:rsidRPr="006A2878" w:rsidRDefault="006A2878" w:rsidP="006A2878">
      <w:pPr>
        <w:jc w:val="right"/>
        <w:rPr>
          <w:rFonts w:asciiTheme="majorEastAsia" w:eastAsiaTheme="majorEastAsia" w:hAnsiTheme="majorEastAsia" w:hint="eastAsia"/>
          <w:sz w:val="24"/>
          <w:szCs w:val="24"/>
          <w:bdr w:val="single" w:sz="4" w:space="0" w:color="auto"/>
        </w:rPr>
      </w:pPr>
      <w:r w:rsidRPr="006A2878">
        <w:rPr>
          <w:rFonts w:asciiTheme="majorEastAsia" w:eastAsiaTheme="majorEastAsia" w:hAnsiTheme="majorEastAsia" w:hint="eastAsia"/>
          <w:sz w:val="24"/>
          <w:szCs w:val="24"/>
          <w:bdr w:val="single" w:sz="4" w:space="0" w:color="auto"/>
        </w:rPr>
        <w:t>資料３－２</w:t>
      </w:r>
    </w:p>
    <w:p w:rsidR="002B2D7A" w:rsidRPr="00A8465C" w:rsidRDefault="00C3744A" w:rsidP="00C3744A">
      <w:pPr>
        <w:rPr>
          <w:b/>
        </w:rPr>
      </w:pPr>
      <w:r w:rsidRPr="00A8465C">
        <w:rPr>
          <w:rFonts w:asciiTheme="majorEastAsia" w:eastAsiaTheme="majorEastAsia" w:hAnsiTheme="majorEastAsia" w:hint="eastAsia"/>
          <w:b/>
          <w:sz w:val="24"/>
          <w:szCs w:val="24"/>
        </w:rPr>
        <w:t>■　大阪府福祉のまちづくり条例の改正骨子（案）</w:t>
      </w:r>
    </w:p>
    <w:p w:rsidR="00C46C81" w:rsidRDefault="00C46C81" w:rsidP="00C46C81">
      <w:pPr>
        <w:widowControl/>
        <w:jc w:val="left"/>
      </w:pPr>
      <w:bookmarkStart w:id="0" w:name="_GoBack"/>
      <w:bookmarkEnd w:id="0"/>
    </w:p>
    <w:p w:rsidR="00C46C81" w:rsidRDefault="00C46C81" w:rsidP="00C46C81">
      <w:pPr>
        <w:widowControl/>
        <w:ind w:leftChars="100" w:left="210"/>
        <w:jc w:val="left"/>
      </w:pPr>
      <w:r>
        <w:rPr>
          <w:rFonts w:hint="eastAsia"/>
        </w:rPr>
        <w:t>「</w:t>
      </w:r>
      <w:r w:rsidRPr="00C46C81">
        <w:rPr>
          <w:rFonts w:hint="eastAsia"/>
        </w:rPr>
        <w:t>大阪府福祉のまちづくり条例の改正に関する方針（案）</w:t>
      </w:r>
      <w:r>
        <w:rPr>
          <w:rFonts w:hint="eastAsia"/>
        </w:rPr>
        <w:t>」でご説明した内容のうち、</w:t>
      </w:r>
      <w:r w:rsidR="002C2191">
        <w:rPr>
          <w:rFonts w:hint="eastAsia"/>
        </w:rPr>
        <w:t>条例</w:t>
      </w:r>
      <w:r>
        <w:rPr>
          <w:rFonts w:hint="eastAsia"/>
        </w:rPr>
        <w:t>改正</w:t>
      </w:r>
      <w:r w:rsidR="002C2191">
        <w:rPr>
          <w:rFonts w:hint="eastAsia"/>
        </w:rPr>
        <w:t>（第１次）</w:t>
      </w:r>
      <w:r>
        <w:rPr>
          <w:rFonts w:hint="eastAsia"/>
        </w:rPr>
        <w:t>の骨子について、</w:t>
      </w:r>
      <w:r w:rsidR="002C2191">
        <w:rPr>
          <w:rFonts w:hint="eastAsia"/>
        </w:rPr>
        <w:t>各項目ごとに、</w:t>
      </w:r>
      <w:r>
        <w:rPr>
          <w:rFonts w:hint="eastAsia"/>
        </w:rPr>
        <w:t>下記のとおりまとめております。</w:t>
      </w:r>
    </w:p>
    <w:p w:rsidR="00C46C81" w:rsidRDefault="002C2191" w:rsidP="002C2191">
      <w:pPr>
        <w:widowControl/>
        <w:ind w:leftChars="100" w:left="210" w:firstLineChars="100" w:firstLine="210"/>
        <w:jc w:val="left"/>
      </w:pPr>
      <w:r>
        <w:rPr>
          <w:rFonts w:hint="eastAsia"/>
        </w:rPr>
        <w:t>・</w:t>
      </w:r>
      <w:r w:rsidRPr="002C2191">
        <w:rPr>
          <w:rFonts w:hint="eastAsia"/>
        </w:rPr>
        <w:t>これまでの審議会等における具体的な検討の内容</w:t>
      </w:r>
      <w:r>
        <w:rPr>
          <w:rFonts w:hint="eastAsia"/>
        </w:rPr>
        <w:t xml:space="preserve">　または　</w:t>
      </w:r>
      <w:r w:rsidRPr="002C2191">
        <w:rPr>
          <w:rFonts w:hint="eastAsia"/>
        </w:rPr>
        <w:t>条例の運用により把握している課題</w:t>
      </w:r>
    </w:p>
    <w:p w:rsidR="002C2191" w:rsidRDefault="002C2191" w:rsidP="002C2191">
      <w:pPr>
        <w:widowControl/>
        <w:ind w:leftChars="100" w:left="210" w:firstLineChars="100" w:firstLine="210"/>
        <w:jc w:val="left"/>
      </w:pPr>
      <w:r>
        <w:rPr>
          <w:rFonts w:hint="eastAsia"/>
        </w:rPr>
        <w:t>・</w:t>
      </w:r>
      <w:r w:rsidRPr="002C2191">
        <w:rPr>
          <w:rFonts w:hint="eastAsia"/>
        </w:rPr>
        <w:t>条例改正検討方針　案</w:t>
      </w:r>
    </w:p>
    <w:p w:rsidR="002C2191" w:rsidRDefault="002C2191" w:rsidP="002C2191">
      <w:pPr>
        <w:widowControl/>
        <w:ind w:leftChars="100" w:left="210" w:firstLineChars="100" w:firstLine="210"/>
        <w:jc w:val="left"/>
      </w:pPr>
      <w:r>
        <w:rPr>
          <w:rFonts w:hint="eastAsia"/>
        </w:rPr>
        <w:t>・</w:t>
      </w:r>
      <w:r w:rsidRPr="002C2191">
        <w:rPr>
          <w:rFonts w:hint="eastAsia"/>
        </w:rPr>
        <w:t>方針案についての考え方等</w:t>
      </w:r>
    </w:p>
    <w:p w:rsidR="002C2191" w:rsidRPr="002643CB" w:rsidRDefault="002C2191" w:rsidP="002C2191">
      <w:pPr>
        <w:widowControl/>
        <w:ind w:leftChars="100" w:left="210" w:firstLineChars="100" w:firstLine="210"/>
        <w:jc w:val="left"/>
      </w:pPr>
    </w:p>
    <w:p w:rsidR="00C3744A" w:rsidRDefault="002C2191" w:rsidP="002C2191">
      <w:pPr>
        <w:widowControl/>
        <w:ind w:leftChars="100" w:left="210"/>
        <w:jc w:val="left"/>
      </w:pPr>
      <w:r>
        <w:rPr>
          <w:rFonts w:hint="eastAsia"/>
        </w:rPr>
        <w:t>なお、ここに提示しております項目の中で、審議会等においてさらに議論が必要と判断された項目については、条例改正（第２次）の対象とすることもございます。</w:t>
      </w:r>
    </w:p>
    <w:p w:rsidR="002C2191" w:rsidRDefault="002C2191">
      <w:pPr>
        <w:widowControl/>
        <w:jc w:val="left"/>
      </w:pPr>
    </w:p>
    <w:p w:rsidR="00A8465C" w:rsidRDefault="00A8465C">
      <w:pPr>
        <w:widowControl/>
        <w:jc w:val="left"/>
      </w:pPr>
    </w:p>
    <w:p w:rsidR="00A8465C" w:rsidRDefault="00A8465C">
      <w:pPr>
        <w:widowControl/>
        <w:jc w:val="left"/>
        <w:rPr>
          <w:rFonts w:asciiTheme="majorEastAsia" w:eastAsiaTheme="majorEastAsia" w:hAnsiTheme="majorEastAsia"/>
          <w:b/>
        </w:rPr>
      </w:pPr>
      <w:r>
        <w:rPr>
          <w:rFonts w:asciiTheme="majorEastAsia" w:eastAsiaTheme="majorEastAsia" w:hAnsiTheme="majorEastAsia" w:hint="eastAsia"/>
          <w:b/>
        </w:rPr>
        <w:t>○</w:t>
      </w:r>
      <w:r w:rsidRPr="00A8465C">
        <w:rPr>
          <w:rFonts w:asciiTheme="majorEastAsia" w:eastAsiaTheme="majorEastAsia" w:hAnsiTheme="majorEastAsia" w:hint="eastAsia"/>
          <w:b/>
        </w:rPr>
        <w:t>条例改正（第</w:t>
      </w:r>
      <w:r w:rsidR="00471C7B">
        <w:rPr>
          <w:rFonts w:asciiTheme="majorEastAsia" w:eastAsiaTheme="majorEastAsia" w:hAnsiTheme="majorEastAsia" w:hint="eastAsia"/>
          <w:b/>
        </w:rPr>
        <w:t>１次）の項目（予定）</w:t>
      </w:r>
    </w:p>
    <w:p w:rsidR="00BB230C" w:rsidRPr="00471C7B" w:rsidRDefault="002C3866" w:rsidP="00A8465C">
      <w:pPr>
        <w:ind w:firstLineChars="200" w:firstLine="420"/>
        <w:rPr>
          <w:rFonts w:asciiTheme="minorEastAsia" w:hAnsiTheme="minorEastAsia"/>
        </w:rPr>
      </w:pPr>
      <w:r>
        <w:rPr>
          <w:rFonts w:asciiTheme="minorEastAsia" w:hAnsiTheme="minorEastAsia" w:hint="eastAsia"/>
        </w:rPr>
        <w:t>ア</w:t>
      </w:r>
      <w:r w:rsidR="00BB230C" w:rsidRPr="00471C7B">
        <w:rPr>
          <w:rFonts w:asciiTheme="minorEastAsia" w:hAnsiTheme="minorEastAsia" w:hint="eastAsia"/>
        </w:rPr>
        <w:t>．共同住宅</w:t>
      </w:r>
      <w:r>
        <w:rPr>
          <w:rFonts w:asciiTheme="minorEastAsia" w:hAnsiTheme="minorEastAsia" w:hint="eastAsia"/>
        </w:rPr>
        <w:t>の</w:t>
      </w:r>
      <w:r w:rsidRPr="002C3866">
        <w:rPr>
          <w:rFonts w:asciiTheme="minorEastAsia" w:hAnsiTheme="minorEastAsia" w:hint="eastAsia"/>
        </w:rPr>
        <w:t>基準適合義務対象規模の見直し</w:t>
      </w:r>
      <w:r w:rsidR="008C3105">
        <w:rPr>
          <w:rFonts w:asciiTheme="minorEastAsia" w:hAnsiTheme="minorEastAsia" w:hint="eastAsia"/>
        </w:rPr>
        <w:tab/>
      </w:r>
      <w:r w:rsidR="008C3105">
        <w:rPr>
          <w:rFonts w:asciiTheme="minorEastAsia" w:hAnsiTheme="minorEastAsia" w:hint="eastAsia"/>
        </w:rPr>
        <w:tab/>
        <w:t>・・・・・・・・Ｐ２</w:t>
      </w:r>
    </w:p>
    <w:p w:rsidR="00BB230C" w:rsidRPr="00471C7B" w:rsidRDefault="002C3866" w:rsidP="00A8465C">
      <w:pPr>
        <w:ind w:firstLineChars="200" w:firstLine="420"/>
        <w:rPr>
          <w:rFonts w:asciiTheme="minorEastAsia" w:hAnsiTheme="minorEastAsia"/>
        </w:rPr>
      </w:pPr>
      <w:r>
        <w:rPr>
          <w:rFonts w:asciiTheme="minorEastAsia" w:hAnsiTheme="minorEastAsia" w:hint="eastAsia"/>
        </w:rPr>
        <w:t>イ</w:t>
      </w:r>
      <w:r w:rsidR="00BB230C" w:rsidRPr="00471C7B">
        <w:rPr>
          <w:rFonts w:asciiTheme="minorEastAsia" w:hAnsiTheme="minorEastAsia" w:hint="eastAsia"/>
        </w:rPr>
        <w:t>．自動車修理工場</w:t>
      </w:r>
      <w:r>
        <w:rPr>
          <w:rFonts w:asciiTheme="minorEastAsia" w:hAnsiTheme="minorEastAsia" w:hint="eastAsia"/>
        </w:rPr>
        <w:t>の</w:t>
      </w:r>
      <w:r w:rsidRPr="002C3866">
        <w:rPr>
          <w:rFonts w:asciiTheme="minorEastAsia" w:hAnsiTheme="minorEastAsia" w:hint="eastAsia"/>
        </w:rPr>
        <w:t>基準適合義務対象規模の見直し</w:t>
      </w:r>
      <w:r w:rsidR="008C3105">
        <w:rPr>
          <w:rFonts w:asciiTheme="minorEastAsia" w:hAnsiTheme="minorEastAsia" w:hint="eastAsia"/>
        </w:rPr>
        <w:tab/>
      </w:r>
      <w:r w:rsidR="0054389B">
        <w:rPr>
          <w:rFonts w:asciiTheme="minorEastAsia" w:hAnsiTheme="minorEastAsia" w:hint="eastAsia"/>
        </w:rPr>
        <w:t>・・・・・・・・Ｐ４</w:t>
      </w:r>
    </w:p>
    <w:p w:rsidR="00A8465C" w:rsidRPr="00471C7B" w:rsidRDefault="002C3866" w:rsidP="00A8465C">
      <w:pPr>
        <w:ind w:firstLineChars="200" w:firstLine="420"/>
        <w:rPr>
          <w:rFonts w:asciiTheme="minorEastAsia" w:hAnsiTheme="minorEastAsia"/>
        </w:rPr>
      </w:pPr>
      <w:r>
        <w:rPr>
          <w:rFonts w:asciiTheme="minorEastAsia" w:hAnsiTheme="minorEastAsia" w:hint="eastAsia"/>
        </w:rPr>
        <w:t>ウ</w:t>
      </w:r>
      <w:r w:rsidR="00A8465C" w:rsidRPr="00471C7B">
        <w:rPr>
          <w:rFonts w:asciiTheme="minorEastAsia" w:hAnsiTheme="minorEastAsia" w:hint="eastAsia"/>
        </w:rPr>
        <w:t>．公衆便所の乳幼児向け設備の適用規模の見直し</w:t>
      </w:r>
      <w:r w:rsidR="008C3105">
        <w:rPr>
          <w:rFonts w:asciiTheme="minorEastAsia" w:hAnsiTheme="minorEastAsia" w:hint="eastAsia"/>
        </w:rPr>
        <w:tab/>
        <w:t>・・・・・・・・Ｐ４</w:t>
      </w:r>
    </w:p>
    <w:p w:rsidR="00A8465C" w:rsidRPr="00471C7B" w:rsidRDefault="002C3866" w:rsidP="00A8465C">
      <w:pPr>
        <w:ind w:firstLineChars="200" w:firstLine="420"/>
        <w:rPr>
          <w:rFonts w:asciiTheme="minorEastAsia" w:hAnsiTheme="minorEastAsia"/>
        </w:rPr>
      </w:pPr>
      <w:r>
        <w:rPr>
          <w:rFonts w:asciiTheme="minorEastAsia" w:hAnsiTheme="minorEastAsia" w:hint="eastAsia"/>
        </w:rPr>
        <w:t>エ</w:t>
      </w:r>
      <w:r w:rsidR="00A8465C" w:rsidRPr="00471C7B">
        <w:rPr>
          <w:rFonts w:asciiTheme="minorEastAsia" w:hAnsiTheme="minorEastAsia" w:hint="eastAsia"/>
        </w:rPr>
        <w:t>．共同住宅等における介護ベッド等の設置規模の見直し</w:t>
      </w:r>
      <w:r w:rsidR="008C3105">
        <w:rPr>
          <w:rFonts w:asciiTheme="minorEastAsia" w:hAnsiTheme="minorEastAsia" w:hint="eastAsia"/>
        </w:rPr>
        <w:tab/>
      </w:r>
      <w:r w:rsidR="008B689A">
        <w:rPr>
          <w:rFonts w:asciiTheme="minorEastAsia" w:hAnsiTheme="minorEastAsia" w:hint="eastAsia"/>
        </w:rPr>
        <w:t>・・・・Ｐ５</w:t>
      </w:r>
    </w:p>
    <w:p w:rsidR="00B44F51" w:rsidRDefault="00B44F51" w:rsidP="00BB230C">
      <w:pPr>
        <w:rPr>
          <w:rFonts w:asciiTheme="majorEastAsia" w:eastAsiaTheme="majorEastAsia" w:hAnsiTheme="majorEastAsia"/>
        </w:rPr>
      </w:pPr>
    </w:p>
    <w:p w:rsidR="00A8465C" w:rsidRDefault="00A8465C">
      <w:pPr>
        <w:widowControl/>
        <w:jc w:val="left"/>
      </w:pPr>
    </w:p>
    <w:p w:rsidR="00A8465C" w:rsidRDefault="00A8465C">
      <w:pPr>
        <w:widowControl/>
        <w:jc w:val="left"/>
      </w:pPr>
    </w:p>
    <w:p w:rsidR="002B2D7A" w:rsidRDefault="002B2D7A">
      <w:pPr>
        <w:widowControl/>
        <w:jc w:val="left"/>
      </w:pPr>
      <w:r>
        <w:br w:type="page"/>
      </w:r>
    </w:p>
    <w:tbl>
      <w:tblPr>
        <w:tblStyle w:val="a3"/>
        <w:tblW w:w="0" w:type="auto"/>
        <w:shd w:val="clear" w:color="auto" w:fill="000000" w:themeFill="text1"/>
        <w:tblLook w:val="04A0" w:firstRow="1" w:lastRow="0" w:firstColumn="1" w:lastColumn="0" w:noHBand="0" w:noVBand="1"/>
      </w:tblPr>
      <w:tblGrid>
        <w:gridCol w:w="9944"/>
      </w:tblGrid>
      <w:tr w:rsidR="0041595B" w:rsidRPr="006C3FBF" w:rsidTr="0075190B">
        <w:tc>
          <w:tcPr>
            <w:tcW w:w="9944" w:type="dxa"/>
            <w:shd w:val="clear" w:color="auto" w:fill="000000" w:themeFill="text1"/>
          </w:tcPr>
          <w:p w:rsidR="0041595B" w:rsidRPr="006C3FBF" w:rsidRDefault="00B44F51" w:rsidP="0075190B">
            <w:pPr>
              <w:rPr>
                <w:rFonts w:asciiTheme="majorEastAsia" w:eastAsiaTheme="majorEastAsia" w:hAnsiTheme="majorEastAsia"/>
              </w:rPr>
            </w:pPr>
            <w:r>
              <w:rPr>
                <w:rFonts w:asciiTheme="majorEastAsia" w:eastAsiaTheme="majorEastAsia" w:hAnsiTheme="majorEastAsia" w:hint="eastAsia"/>
              </w:rPr>
              <w:lastRenderedPageBreak/>
              <w:t>ア</w:t>
            </w:r>
            <w:r w:rsidR="0041595B" w:rsidRPr="006C3FBF">
              <w:rPr>
                <w:rFonts w:asciiTheme="majorEastAsia" w:eastAsiaTheme="majorEastAsia" w:hAnsiTheme="majorEastAsia" w:hint="eastAsia"/>
              </w:rPr>
              <w:t>．</w:t>
            </w:r>
            <w:r w:rsidR="003C2186">
              <w:rPr>
                <w:rFonts w:asciiTheme="majorEastAsia" w:eastAsiaTheme="majorEastAsia" w:hAnsiTheme="majorEastAsia" w:hint="eastAsia"/>
              </w:rPr>
              <w:t>共同住宅の</w:t>
            </w:r>
            <w:r w:rsidR="00754191">
              <w:rPr>
                <w:rFonts w:asciiTheme="majorEastAsia" w:eastAsiaTheme="majorEastAsia" w:hAnsiTheme="majorEastAsia" w:hint="eastAsia"/>
              </w:rPr>
              <w:t>基準適合</w:t>
            </w:r>
            <w:r w:rsidR="003C2186">
              <w:rPr>
                <w:rFonts w:asciiTheme="majorEastAsia" w:eastAsiaTheme="majorEastAsia" w:hAnsiTheme="majorEastAsia" w:hint="eastAsia"/>
              </w:rPr>
              <w:t>義務対象規模</w:t>
            </w:r>
            <w:r w:rsidR="00754191">
              <w:rPr>
                <w:rFonts w:asciiTheme="majorEastAsia" w:eastAsiaTheme="majorEastAsia" w:hAnsiTheme="majorEastAsia" w:hint="eastAsia"/>
              </w:rPr>
              <w:t>の</w:t>
            </w:r>
            <w:r w:rsidR="003C2186">
              <w:rPr>
                <w:rFonts w:asciiTheme="majorEastAsia" w:eastAsiaTheme="majorEastAsia" w:hAnsiTheme="majorEastAsia" w:hint="eastAsia"/>
              </w:rPr>
              <w:t>見直し</w:t>
            </w:r>
          </w:p>
        </w:tc>
      </w:tr>
    </w:tbl>
    <w:p w:rsidR="00A8465C" w:rsidRPr="00A8465C" w:rsidRDefault="00B44F51" w:rsidP="00A8465C">
      <w:pPr>
        <w:rPr>
          <w:rFonts w:asciiTheme="majorEastAsia" w:eastAsiaTheme="majorEastAsia" w:hAnsiTheme="majorEastAsia"/>
          <w:b/>
          <w:szCs w:val="21"/>
        </w:rPr>
      </w:pPr>
      <w:r>
        <w:rPr>
          <w:rFonts w:asciiTheme="majorEastAsia" w:eastAsiaTheme="majorEastAsia" w:hAnsiTheme="majorEastAsia" w:hint="eastAsia"/>
          <w:b/>
          <w:szCs w:val="21"/>
        </w:rPr>
        <w:t>a</w:t>
      </w:r>
      <w:r w:rsidR="00A8465C" w:rsidRPr="00A8465C">
        <w:rPr>
          <w:rFonts w:asciiTheme="majorEastAsia" w:eastAsiaTheme="majorEastAsia" w:hAnsiTheme="majorEastAsia" w:hint="eastAsia"/>
          <w:b/>
          <w:szCs w:val="21"/>
        </w:rPr>
        <w:t>）</w:t>
      </w:r>
      <w:r w:rsidRPr="00B44F51">
        <w:rPr>
          <w:rFonts w:asciiTheme="majorEastAsia" w:eastAsiaTheme="majorEastAsia" w:hAnsiTheme="majorEastAsia" w:hint="eastAsia"/>
          <w:b/>
          <w:szCs w:val="21"/>
        </w:rPr>
        <w:t>審議会の議論等により把握している課題、論点</w:t>
      </w:r>
    </w:p>
    <w:p w:rsidR="00A8465C" w:rsidRPr="006B35CA" w:rsidRDefault="00A8465C" w:rsidP="00A8465C">
      <w:pPr>
        <w:ind w:leftChars="100" w:left="420" w:hangingChars="100" w:hanging="210"/>
        <w:rPr>
          <w:szCs w:val="21"/>
        </w:rPr>
      </w:pPr>
      <w:r w:rsidRPr="001A4A27">
        <w:rPr>
          <w:rFonts w:hint="eastAsia"/>
          <w:szCs w:val="21"/>
        </w:rPr>
        <w:t>○平成５年の条例当</w:t>
      </w:r>
      <w:r w:rsidRPr="006B35CA">
        <w:rPr>
          <w:rFonts w:hint="eastAsia"/>
          <w:szCs w:val="21"/>
        </w:rPr>
        <w:t>初制定時、条例の対象とする規模は「</w:t>
      </w:r>
      <w:r w:rsidRPr="006B35CA">
        <w:rPr>
          <w:rFonts w:hint="eastAsia"/>
          <w:szCs w:val="21"/>
        </w:rPr>
        <w:t>50</w:t>
      </w:r>
      <w:r w:rsidRPr="006B35CA">
        <w:rPr>
          <w:rFonts w:hint="eastAsia"/>
          <w:szCs w:val="21"/>
        </w:rPr>
        <w:t>戸以上」。平成</w:t>
      </w:r>
      <w:r w:rsidRPr="006B35CA">
        <w:rPr>
          <w:rFonts w:hint="eastAsia"/>
          <w:szCs w:val="21"/>
        </w:rPr>
        <w:t>15</w:t>
      </w:r>
      <w:r w:rsidRPr="006B35CA">
        <w:rPr>
          <w:rFonts w:hint="eastAsia"/>
          <w:szCs w:val="21"/>
        </w:rPr>
        <w:t>年の改正時に「</w:t>
      </w:r>
      <w:r w:rsidRPr="006B35CA">
        <w:rPr>
          <w:rFonts w:hint="eastAsia"/>
          <w:szCs w:val="21"/>
        </w:rPr>
        <w:t>2,000</w:t>
      </w:r>
      <w:r w:rsidRPr="006B35CA">
        <w:rPr>
          <w:rFonts w:hint="eastAsia"/>
          <w:szCs w:val="21"/>
        </w:rPr>
        <w:t>㎡以上または</w:t>
      </w:r>
      <w:r w:rsidRPr="006B35CA">
        <w:rPr>
          <w:rFonts w:hint="eastAsia"/>
          <w:szCs w:val="21"/>
        </w:rPr>
        <w:t>50</w:t>
      </w:r>
      <w:r w:rsidRPr="006B35CA">
        <w:rPr>
          <w:rFonts w:hint="eastAsia"/>
          <w:szCs w:val="21"/>
        </w:rPr>
        <w:t>戸以上」に改正。</w:t>
      </w:r>
    </w:p>
    <w:p w:rsidR="00A8465C" w:rsidRPr="006B35CA" w:rsidRDefault="00A8465C" w:rsidP="00A8465C">
      <w:pPr>
        <w:ind w:leftChars="100" w:left="420" w:hangingChars="100" w:hanging="210"/>
        <w:rPr>
          <w:szCs w:val="21"/>
        </w:rPr>
      </w:pPr>
      <w:r w:rsidRPr="006B35CA">
        <w:rPr>
          <w:rFonts w:hint="eastAsia"/>
          <w:szCs w:val="21"/>
        </w:rPr>
        <w:t>○障がい当事者等からも、障がい者の地域移行の観点からも、共同住宅の対象を拡大すべきとの意見がある。</w:t>
      </w:r>
    </w:p>
    <w:p w:rsidR="00A8465C" w:rsidRPr="006B35CA" w:rsidRDefault="00A8465C" w:rsidP="00A8465C">
      <w:pPr>
        <w:ind w:left="210" w:hangingChars="100" w:hanging="210"/>
        <w:rPr>
          <w:szCs w:val="21"/>
        </w:rPr>
      </w:pPr>
      <w:r w:rsidRPr="006B35CA">
        <w:rPr>
          <w:rFonts w:hint="eastAsia"/>
          <w:szCs w:val="21"/>
        </w:rPr>
        <w:t xml:space="preserve">　（具体的意見）</w:t>
      </w:r>
    </w:p>
    <w:p w:rsidR="00A8465C" w:rsidRPr="006B35CA" w:rsidRDefault="00A8465C" w:rsidP="00A8465C">
      <w:pPr>
        <w:ind w:leftChars="100" w:left="210" w:firstLineChars="100" w:firstLine="220"/>
        <w:rPr>
          <w:rFonts w:ascii="ＭＳ 明朝" w:eastAsia="ＭＳ 明朝" w:hAnsi="ＭＳ 明朝" w:cs="ＭＳ 明朝"/>
          <w:bCs/>
          <w:kern w:val="0"/>
          <w:sz w:val="22"/>
        </w:rPr>
      </w:pPr>
      <w:r w:rsidRPr="006B35CA">
        <w:rPr>
          <w:rFonts w:ascii="ＭＳ 明朝" w:eastAsia="ＭＳ 明朝" w:hAnsi="ＭＳ 明朝" w:cs="ＭＳ 明朝" w:hint="eastAsia"/>
          <w:bCs/>
          <w:kern w:val="0"/>
          <w:sz w:val="22"/>
        </w:rPr>
        <w:t>「共同住宅」については、</w:t>
      </w:r>
      <w:r w:rsidRPr="006B35CA">
        <w:rPr>
          <w:rFonts w:ascii="ＭＳ 明朝" w:eastAsia="ＭＳ 明朝" w:hAnsi="ＭＳ 明朝" w:cs="ＭＳ 明朝"/>
          <w:bCs/>
          <w:kern w:val="0"/>
          <w:sz w:val="22"/>
        </w:rPr>
        <w:t>2016</w:t>
      </w:r>
      <w:r w:rsidRPr="006B35CA">
        <w:rPr>
          <w:rFonts w:ascii="ＭＳ 明朝" w:eastAsia="ＭＳ 明朝" w:hAnsi="ＭＳ 明朝" w:cs="ＭＳ 明朝" w:hint="eastAsia"/>
          <w:bCs/>
          <w:kern w:val="0"/>
          <w:sz w:val="22"/>
        </w:rPr>
        <w:t>年を待たず、早急に改正し、現在「50戸以上」の対象基準を、</w:t>
      </w:r>
    </w:p>
    <w:p w:rsidR="00A8465C" w:rsidRPr="006B35CA" w:rsidRDefault="00A8465C" w:rsidP="00A8465C">
      <w:pPr>
        <w:ind w:leftChars="200" w:left="420"/>
        <w:rPr>
          <w:szCs w:val="21"/>
        </w:rPr>
      </w:pPr>
      <w:r w:rsidRPr="006B35CA">
        <w:rPr>
          <w:rFonts w:ascii="ＭＳ 明朝" w:eastAsia="ＭＳ 明朝" w:hAnsi="ＭＳ 明朝" w:cs="ＭＳ 明朝" w:hint="eastAsia"/>
          <w:bCs/>
          <w:kern w:val="0"/>
          <w:sz w:val="22"/>
        </w:rPr>
        <w:t>兵庫県の「21戸以上」基準に改めること。また、その効果等の検証を経て次回改正につなげていくこと。住宅問題は地域移行を阻む要因の一つにもなっており、大幅な対象の拡大を早急に検討すること。</w:t>
      </w:r>
    </w:p>
    <w:p w:rsidR="00A8465C" w:rsidRPr="005A2E38" w:rsidRDefault="00A8465C" w:rsidP="00A8465C">
      <w:pPr>
        <w:ind w:leftChars="100" w:left="420" w:hangingChars="100" w:hanging="210"/>
        <w:rPr>
          <w:szCs w:val="21"/>
        </w:rPr>
      </w:pPr>
      <w:r w:rsidRPr="005A2E38">
        <w:rPr>
          <w:rFonts w:hint="eastAsia"/>
          <w:szCs w:val="21"/>
        </w:rPr>
        <w:t>○兵庫県等他自治体の状況も踏まえ、対象規模の検討が必要。（兵庫県は</w:t>
      </w:r>
      <w:r w:rsidRPr="005A2E38">
        <w:rPr>
          <w:rFonts w:hint="eastAsia"/>
          <w:szCs w:val="21"/>
        </w:rPr>
        <w:t>21</w:t>
      </w:r>
      <w:r w:rsidRPr="005A2E38">
        <w:rPr>
          <w:rFonts w:hint="eastAsia"/>
          <w:szCs w:val="21"/>
        </w:rPr>
        <w:t>戸以上を対象規模とする</w:t>
      </w:r>
    </w:p>
    <w:p w:rsidR="0041595B" w:rsidRPr="005A2E38" w:rsidRDefault="00A8465C" w:rsidP="00A8465C">
      <w:pPr>
        <w:ind w:leftChars="200" w:left="420"/>
        <w:rPr>
          <w:szCs w:val="21"/>
        </w:rPr>
      </w:pPr>
      <w:r w:rsidRPr="005A2E38">
        <w:rPr>
          <w:rFonts w:hint="eastAsia"/>
          <w:szCs w:val="21"/>
        </w:rPr>
        <w:t>基準がある。）</w:t>
      </w:r>
    </w:p>
    <w:p w:rsidR="00A8465C" w:rsidRPr="005A2E38" w:rsidRDefault="00A8465C">
      <w:pPr>
        <w:widowControl/>
        <w:jc w:val="left"/>
      </w:pPr>
    </w:p>
    <w:p w:rsidR="00A8465C" w:rsidRPr="005A2E38" w:rsidRDefault="00B44F51" w:rsidP="00A8465C">
      <w:pPr>
        <w:rPr>
          <w:rFonts w:asciiTheme="majorEastAsia" w:eastAsiaTheme="majorEastAsia" w:hAnsiTheme="majorEastAsia"/>
          <w:b/>
          <w:szCs w:val="21"/>
        </w:rPr>
      </w:pPr>
      <w:r w:rsidRPr="005A2E38">
        <w:rPr>
          <w:rFonts w:asciiTheme="majorEastAsia" w:eastAsiaTheme="majorEastAsia" w:hAnsiTheme="majorEastAsia" w:hint="eastAsia"/>
          <w:b/>
          <w:szCs w:val="21"/>
        </w:rPr>
        <w:t>b</w:t>
      </w:r>
      <w:r w:rsidR="00A8465C" w:rsidRPr="005A2E38">
        <w:rPr>
          <w:rFonts w:asciiTheme="majorEastAsia" w:eastAsiaTheme="majorEastAsia" w:hAnsiTheme="majorEastAsia" w:hint="eastAsia"/>
          <w:b/>
          <w:szCs w:val="21"/>
        </w:rPr>
        <w:t>）条例改正検討方針　案</w:t>
      </w:r>
    </w:p>
    <w:p w:rsidR="00A8465C" w:rsidRPr="005A2E38" w:rsidRDefault="00A8465C" w:rsidP="002821B3">
      <w:pPr>
        <w:ind w:leftChars="100" w:left="210"/>
      </w:pPr>
      <w:r w:rsidRPr="005A2E38">
        <w:rPr>
          <w:rFonts w:hint="eastAsia"/>
        </w:rPr>
        <w:t>現行の義務対象規模「</w:t>
      </w:r>
      <w:r w:rsidRPr="005A2E38">
        <w:rPr>
          <w:rFonts w:hint="eastAsia"/>
        </w:rPr>
        <w:t>2,000</w:t>
      </w:r>
      <w:r w:rsidRPr="005A2E38">
        <w:rPr>
          <w:rFonts w:hint="eastAsia"/>
        </w:rPr>
        <w:t>㎡または</w:t>
      </w:r>
      <w:r w:rsidRPr="005A2E38">
        <w:rPr>
          <w:rFonts w:hint="eastAsia"/>
        </w:rPr>
        <w:t>50</w:t>
      </w:r>
      <w:r w:rsidRPr="005A2E38">
        <w:rPr>
          <w:rFonts w:hint="eastAsia"/>
        </w:rPr>
        <w:t>戸以上」を、義務対象を「</w:t>
      </w:r>
      <w:r w:rsidRPr="005A2E38">
        <w:rPr>
          <w:rFonts w:hint="eastAsia"/>
        </w:rPr>
        <w:t>2,000</w:t>
      </w:r>
      <w:r w:rsidRPr="005A2E38">
        <w:rPr>
          <w:rFonts w:hint="eastAsia"/>
        </w:rPr>
        <w:t>㎡または</w:t>
      </w:r>
      <w:r w:rsidRPr="005A2E38">
        <w:rPr>
          <w:rFonts w:hint="eastAsia"/>
        </w:rPr>
        <w:t>20</w:t>
      </w:r>
      <w:r w:rsidRPr="005A2E38">
        <w:rPr>
          <w:rFonts w:hint="eastAsia"/>
        </w:rPr>
        <w:t>戸以上」とし、主に玄関周りや一階レベルの住宅へのアクセスを可能とするよう、地上階にある住戸の出入口までのバリアフリー化を求めるものとする。</w:t>
      </w:r>
    </w:p>
    <w:p w:rsidR="002821B3" w:rsidRPr="005A2E38" w:rsidRDefault="002821B3" w:rsidP="002821B3">
      <w:pPr>
        <w:ind w:leftChars="100" w:left="210"/>
      </w:pPr>
      <w:r w:rsidRPr="005A2E38">
        <w:rPr>
          <w:rFonts w:hint="eastAsia"/>
        </w:rPr>
        <w:t>なお、</w:t>
      </w:r>
      <w:r w:rsidR="00A8465C" w:rsidRPr="005A2E38">
        <w:rPr>
          <w:rFonts w:hint="eastAsia"/>
        </w:rPr>
        <w:t>エレベーターの設置や、共用便所等に対する基準適用に関しては、</w:t>
      </w:r>
      <w:r w:rsidRPr="005A2E38">
        <w:rPr>
          <w:rFonts w:hint="eastAsia"/>
          <w:u w:val="double"/>
        </w:rPr>
        <w:t>一定規模</w:t>
      </w:r>
      <w:r w:rsidR="00A8465C" w:rsidRPr="005A2E38">
        <w:rPr>
          <w:rFonts w:hint="eastAsia"/>
          <w:u w:val="double"/>
        </w:rPr>
        <w:t>以上</w:t>
      </w:r>
      <w:r w:rsidR="00733262" w:rsidRPr="005A2E38">
        <w:rPr>
          <w:rFonts w:hint="eastAsia"/>
          <w:u w:val="double"/>
        </w:rPr>
        <w:t>（案１・案２）</w:t>
      </w:r>
      <w:r w:rsidR="00A8465C" w:rsidRPr="005A2E38">
        <w:rPr>
          <w:rFonts w:hint="eastAsia"/>
        </w:rPr>
        <w:t>の場合にのみ求めるよう、基準の見直しを併せて検討する。</w:t>
      </w:r>
    </w:p>
    <w:p w:rsidR="00993530" w:rsidRPr="005A2E38" w:rsidRDefault="00993530" w:rsidP="00993530">
      <w:pPr>
        <w:jc w:val="right"/>
      </w:pPr>
      <w:r w:rsidRPr="005A2E38">
        <w:rPr>
          <w:rFonts w:hint="eastAsia"/>
        </w:rPr>
        <w:t>（基準改正案：別紙「資料３－３　共同住宅の基準　改正案」）</w:t>
      </w:r>
    </w:p>
    <w:p w:rsidR="006422B2" w:rsidRPr="005A2E38" w:rsidRDefault="002821B3" w:rsidP="00733262">
      <w:pPr>
        <w:ind w:leftChars="100" w:left="840" w:hangingChars="300" w:hanging="630"/>
      </w:pPr>
      <w:r w:rsidRPr="005A2E38">
        <w:rPr>
          <w:rFonts w:asciiTheme="majorEastAsia" w:eastAsiaTheme="majorEastAsia" w:hAnsiTheme="majorEastAsia" w:hint="eastAsia"/>
          <w:bdr w:val="single" w:sz="4" w:space="0" w:color="auto"/>
        </w:rPr>
        <w:t>案１</w:t>
      </w:r>
      <w:r w:rsidRPr="005A2E38">
        <w:rPr>
          <w:rFonts w:hint="eastAsia"/>
        </w:rPr>
        <w:t xml:space="preserve">　</w:t>
      </w:r>
      <w:r w:rsidR="00993530" w:rsidRPr="005A2E38">
        <w:rPr>
          <w:rFonts w:hint="eastAsia"/>
        </w:rPr>
        <w:t>2,000</w:t>
      </w:r>
      <w:r w:rsidR="00733262" w:rsidRPr="005A2E38">
        <w:rPr>
          <w:rFonts w:hint="eastAsia"/>
        </w:rPr>
        <w:t>㎡以上</w:t>
      </w:r>
      <w:r w:rsidR="00993530" w:rsidRPr="005A2E38">
        <w:rPr>
          <w:rFonts w:hint="eastAsia"/>
        </w:rPr>
        <w:t>（区分Ａ）</w:t>
      </w:r>
      <w:r w:rsidR="00E3625A" w:rsidRPr="005A2E38">
        <w:rPr>
          <w:rFonts w:hint="eastAsia"/>
        </w:rPr>
        <w:t>：</w:t>
      </w:r>
      <w:r w:rsidR="00733262" w:rsidRPr="005A2E38">
        <w:rPr>
          <w:rFonts w:hint="eastAsia"/>
        </w:rPr>
        <w:t>エレベーターの設置や、共用便所等への基準適用を行う。</w:t>
      </w:r>
    </w:p>
    <w:p w:rsidR="00E3625A" w:rsidRPr="005A2E38" w:rsidRDefault="00E3625A" w:rsidP="00733262">
      <w:pPr>
        <w:ind w:leftChars="100" w:left="840" w:hangingChars="300" w:hanging="630"/>
      </w:pPr>
      <w:r w:rsidRPr="005A2E38">
        <w:rPr>
          <w:rFonts w:hint="eastAsia"/>
        </w:rPr>
        <w:t xml:space="preserve">　　　</w:t>
      </w:r>
      <w:r w:rsidR="00993530" w:rsidRPr="005A2E38">
        <w:rPr>
          <w:rFonts w:hint="eastAsia"/>
        </w:rPr>
        <w:t>2,000</w:t>
      </w:r>
      <w:r w:rsidRPr="005A2E38">
        <w:rPr>
          <w:rFonts w:hint="eastAsia"/>
        </w:rPr>
        <w:t>㎡未満</w:t>
      </w:r>
      <w:r w:rsidR="00993530" w:rsidRPr="005A2E38">
        <w:rPr>
          <w:rFonts w:hint="eastAsia"/>
        </w:rPr>
        <w:t>（区分Ｂ・Ｃ）</w:t>
      </w:r>
      <w:r w:rsidRPr="005A2E38">
        <w:rPr>
          <w:rFonts w:hint="eastAsia"/>
        </w:rPr>
        <w:t>：</w:t>
      </w:r>
      <w:r w:rsidR="002643CB" w:rsidRPr="005A2E38">
        <w:rPr>
          <w:rFonts w:hint="eastAsia"/>
        </w:rPr>
        <w:t>地上階にある</w:t>
      </w:r>
      <w:r w:rsidRPr="005A2E38">
        <w:rPr>
          <w:rFonts w:hint="eastAsia"/>
        </w:rPr>
        <w:t>住戸へのバリアフリーのみ求める。</w:t>
      </w:r>
    </w:p>
    <w:p w:rsidR="006422B2" w:rsidRPr="005A2E38" w:rsidRDefault="00733262" w:rsidP="006422B2">
      <w:pPr>
        <w:ind w:leftChars="400" w:left="2100" w:hangingChars="600" w:hanging="1260"/>
      </w:pPr>
      <w:r w:rsidRPr="005A2E38">
        <w:rPr>
          <w:rFonts w:hint="eastAsia"/>
        </w:rPr>
        <w:t>メリット　：</w:t>
      </w:r>
      <w:r w:rsidRPr="005A2E38">
        <w:rPr>
          <w:rFonts w:hint="eastAsia"/>
          <w:w w:val="90"/>
        </w:rPr>
        <w:t>わかりやすい基準となり、事業者等</w:t>
      </w:r>
      <w:r w:rsidR="00A017AD" w:rsidRPr="005A2E38">
        <w:rPr>
          <w:rFonts w:hint="eastAsia"/>
          <w:w w:val="90"/>
        </w:rPr>
        <w:t>の負担も</w:t>
      </w:r>
      <w:r w:rsidR="00993530" w:rsidRPr="005A2E38">
        <w:rPr>
          <w:rFonts w:hint="eastAsia"/>
          <w:w w:val="90"/>
        </w:rPr>
        <w:t>案２に比べ</w:t>
      </w:r>
      <w:r w:rsidR="00A017AD" w:rsidRPr="005A2E38">
        <w:rPr>
          <w:rFonts w:hint="eastAsia"/>
          <w:w w:val="90"/>
        </w:rPr>
        <w:t>少ないため</w:t>
      </w:r>
      <w:r w:rsidR="00993530" w:rsidRPr="005A2E38">
        <w:rPr>
          <w:rFonts w:hint="eastAsia"/>
          <w:w w:val="90"/>
        </w:rPr>
        <w:t>、</w:t>
      </w:r>
      <w:r w:rsidRPr="005A2E38">
        <w:rPr>
          <w:rFonts w:hint="eastAsia"/>
          <w:w w:val="90"/>
        </w:rPr>
        <w:t>理解を得やすい</w:t>
      </w:r>
      <w:r w:rsidR="00E3625A" w:rsidRPr="005A2E38">
        <w:rPr>
          <w:rFonts w:hint="eastAsia"/>
          <w:w w:val="90"/>
        </w:rPr>
        <w:t>。</w:t>
      </w:r>
    </w:p>
    <w:p w:rsidR="00733262" w:rsidRPr="005A2E38" w:rsidRDefault="00733262" w:rsidP="00993530">
      <w:pPr>
        <w:ind w:leftChars="400" w:left="2100" w:hangingChars="600" w:hanging="1260"/>
      </w:pPr>
      <w:r w:rsidRPr="005A2E38">
        <w:rPr>
          <w:rFonts w:hint="eastAsia"/>
        </w:rPr>
        <w:t>デメリット：現行でエレベーター設置等の対象となっている「２，０００㎡未満かつ５０戸以上（全体の約</w:t>
      </w:r>
      <w:r w:rsidR="00BA733D" w:rsidRPr="005A2E38">
        <w:rPr>
          <w:rFonts w:hint="eastAsia"/>
        </w:rPr>
        <w:t>３％</w:t>
      </w:r>
      <w:r w:rsidR="0050129E" w:rsidRPr="005A2E38">
        <w:rPr>
          <w:rFonts w:hint="eastAsia"/>
        </w:rPr>
        <w:t xml:space="preserve">　Ｐ３</w:t>
      </w:r>
      <w:r w:rsidR="00993530" w:rsidRPr="005A2E38">
        <w:rPr>
          <w:rFonts w:hint="eastAsia"/>
        </w:rPr>
        <w:t>図</w:t>
      </w:r>
      <w:r w:rsidR="0050129E" w:rsidRPr="005A2E38">
        <w:rPr>
          <w:rFonts w:hint="eastAsia"/>
        </w:rPr>
        <w:t>１の区分Ｂ</w:t>
      </w:r>
      <w:r w:rsidR="00BA733D" w:rsidRPr="005A2E38">
        <w:rPr>
          <w:rFonts w:hint="eastAsia"/>
        </w:rPr>
        <w:t>）</w:t>
      </w:r>
      <w:r w:rsidRPr="005A2E38">
        <w:rPr>
          <w:rFonts w:hint="eastAsia"/>
        </w:rPr>
        <w:t>」に対し、エレベーター設置</w:t>
      </w:r>
      <w:r w:rsidR="00BA733D" w:rsidRPr="005A2E38">
        <w:rPr>
          <w:rFonts w:hint="eastAsia"/>
        </w:rPr>
        <w:t>や共用便所等への基準適用</w:t>
      </w:r>
      <w:r w:rsidRPr="005A2E38">
        <w:rPr>
          <w:rFonts w:hint="eastAsia"/>
        </w:rPr>
        <w:t>の基準がかからなくなる。</w:t>
      </w:r>
    </w:p>
    <w:p w:rsidR="006422B2" w:rsidRPr="005A2E38" w:rsidRDefault="00733262" w:rsidP="00733262">
      <w:pPr>
        <w:ind w:leftChars="100" w:left="840" w:hangingChars="300" w:hanging="630"/>
      </w:pPr>
      <w:r w:rsidRPr="005A2E38">
        <w:rPr>
          <w:rFonts w:asciiTheme="majorEastAsia" w:eastAsiaTheme="majorEastAsia" w:hAnsiTheme="majorEastAsia" w:hint="eastAsia"/>
          <w:bdr w:val="single" w:sz="4" w:space="0" w:color="auto"/>
        </w:rPr>
        <w:t>案２</w:t>
      </w:r>
      <w:r w:rsidRPr="005A2E38">
        <w:rPr>
          <w:rFonts w:hint="eastAsia"/>
        </w:rPr>
        <w:t xml:space="preserve">　</w:t>
      </w:r>
      <w:r w:rsidR="00993530" w:rsidRPr="005A2E38">
        <w:rPr>
          <w:rFonts w:hint="eastAsia"/>
        </w:rPr>
        <w:t>2,000</w:t>
      </w:r>
      <w:r w:rsidRPr="005A2E38">
        <w:rPr>
          <w:rFonts w:hint="eastAsia"/>
        </w:rPr>
        <w:t>㎡以上または</w:t>
      </w:r>
      <w:r w:rsidR="00993530" w:rsidRPr="005A2E38">
        <w:rPr>
          <w:rFonts w:hint="eastAsia"/>
        </w:rPr>
        <w:t>50</w:t>
      </w:r>
      <w:r w:rsidRPr="005A2E38">
        <w:rPr>
          <w:rFonts w:hint="eastAsia"/>
        </w:rPr>
        <w:t>戸以上</w:t>
      </w:r>
      <w:r w:rsidR="00993530" w:rsidRPr="005A2E38">
        <w:rPr>
          <w:rFonts w:hint="eastAsia"/>
        </w:rPr>
        <w:t>（区分Ａ・Ｂ）</w:t>
      </w:r>
      <w:r w:rsidR="00E3625A" w:rsidRPr="005A2E38">
        <w:rPr>
          <w:rFonts w:hint="eastAsia"/>
        </w:rPr>
        <w:t>：</w:t>
      </w:r>
      <w:r w:rsidRPr="005A2E38">
        <w:rPr>
          <w:rFonts w:hint="eastAsia"/>
        </w:rPr>
        <w:t>エレベーターの設置や、共用便所等への基準適用を行う。</w:t>
      </w:r>
    </w:p>
    <w:p w:rsidR="00E3625A" w:rsidRPr="005A2E38" w:rsidRDefault="002643CB" w:rsidP="00993530">
      <w:pPr>
        <w:ind w:leftChars="100" w:left="840" w:hangingChars="300" w:hanging="630"/>
      </w:pPr>
      <w:r w:rsidRPr="005A2E38">
        <w:rPr>
          <w:rFonts w:hint="eastAsia"/>
        </w:rPr>
        <w:t xml:space="preserve">　　　</w:t>
      </w:r>
      <w:r w:rsidR="00993530" w:rsidRPr="005A2E38">
        <w:rPr>
          <w:rFonts w:hint="eastAsia"/>
        </w:rPr>
        <w:t>2,000</w:t>
      </w:r>
      <w:r w:rsidRPr="005A2E38">
        <w:rPr>
          <w:rFonts w:hint="eastAsia"/>
        </w:rPr>
        <w:t>㎡未満</w:t>
      </w:r>
      <w:r w:rsidR="00E3625A" w:rsidRPr="005A2E38">
        <w:rPr>
          <w:rFonts w:hint="eastAsia"/>
        </w:rPr>
        <w:t>かつ</w:t>
      </w:r>
      <w:r w:rsidR="00993530" w:rsidRPr="005A2E38">
        <w:rPr>
          <w:rFonts w:hint="eastAsia"/>
        </w:rPr>
        <w:t>50</w:t>
      </w:r>
      <w:r w:rsidR="00A15F47" w:rsidRPr="005A2E38">
        <w:rPr>
          <w:rFonts w:hint="eastAsia"/>
        </w:rPr>
        <w:t>戸未満</w:t>
      </w:r>
      <w:r w:rsidR="00993530" w:rsidRPr="005A2E38">
        <w:rPr>
          <w:rFonts w:hint="eastAsia"/>
        </w:rPr>
        <w:t>（区分Ｃ）</w:t>
      </w:r>
      <w:r w:rsidR="00E3625A" w:rsidRPr="005A2E38">
        <w:rPr>
          <w:rFonts w:hint="eastAsia"/>
        </w:rPr>
        <w:t>：</w:t>
      </w:r>
      <w:r w:rsidRPr="005A2E38">
        <w:rPr>
          <w:rFonts w:hint="eastAsia"/>
        </w:rPr>
        <w:t>地上階にある</w:t>
      </w:r>
      <w:r w:rsidR="00E3625A" w:rsidRPr="005A2E38">
        <w:rPr>
          <w:rFonts w:hint="eastAsia"/>
        </w:rPr>
        <w:t>住戸へのバリアフリーのみ求める。</w:t>
      </w:r>
    </w:p>
    <w:p w:rsidR="006422B2" w:rsidRPr="005A2E38" w:rsidRDefault="00733262" w:rsidP="006422B2">
      <w:pPr>
        <w:ind w:leftChars="400" w:left="2100" w:hangingChars="600" w:hanging="1260"/>
      </w:pPr>
      <w:r w:rsidRPr="005A2E38">
        <w:rPr>
          <w:rFonts w:hint="eastAsia"/>
        </w:rPr>
        <w:t>メリット　：</w:t>
      </w:r>
      <w:r w:rsidR="00BA733D" w:rsidRPr="005A2E38">
        <w:rPr>
          <w:rFonts w:hint="eastAsia"/>
        </w:rPr>
        <w:t>現行条例において、エレベーター設置等の対象となっている規模に対しては、引き続きエレベーター設置や共用便所等への基準適用の基準が課される。</w:t>
      </w:r>
    </w:p>
    <w:p w:rsidR="00A15F47" w:rsidRPr="005A2E38" w:rsidRDefault="00733262" w:rsidP="00A15F47">
      <w:pPr>
        <w:ind w:leftChars="400" w:left="2100" w:hangingChars="600" w:hanging="1260"/>
      </w:pPr>
      <w:r w:rsidRPr="005A2E38">
        <w:rPr>
          <w:rFonts w:hint="eastAsia"/>
        </w:rPr>
        <w:t>デメリット：</w:t>
      </w:r>
      <w:r w:rsidR="00767B8D" w:rsidRPr="005A2E38">
        <w:rPr>
          <w:rFonts w:hint="eastAsia"/>
        </w:rPr>
        <w:t>案１に比べ、</w:t>
      </w:r>
      <w:r w:rsidR="00A017AD" w:rsidRPr="005A2E38">
        <w:rPr>
          <w:rFonts w:hint="eastAsia"/>
        </w:rPr>
        <w:t>事業者等の負担</w:t>
      </w:r>
      <w:r w:rsidR="00767B8D" w:rsidRPr="005A2E38">
        <w:rPr>
          <w:rFonts w:hint="eastAsia"/>
        </w:rPr>
        <w:t>が増すことが予想され、基準が複雑となる。</w:t>
      </w:r>
    </w:p>
    <w:p w:rsidR="00993530" w:rsidRPr="005A2E38" w:rsidRDefault="00993530" w:rsidP="00993530"/>
    <w:p w:rsidR="00993530" w:rsidRPr="005A2E38" w:rsidRDefault="00830F10" w:rsidP="00830F10">
      <w:pPr>
        <w:ind w:firstLineChars="200" w:firstLine="420"/>
        <w:rPr>
          <w:rFonts w:asciiTheme="minorEastAsia" w:hAnsiTheme="minorEastAsia"/>
        </w:rPr>
      </w:pPr>
      <w:r w:rsidRPr="005A2E38">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7836EA61" wp14:editId="6DCA721D">
                <wp:simplePos x="0" y="0"/>
                <wp:positionH relativeFrom="column">
                  <wp:posOffset>49530</wp:posOffset>
                </wp:positionH>
                <wp:positionV relativeFrom="paragraph">
                  <wp:posOffset>34290</wp:posOffset>
                </wp:positionV>
                <wp:extent cx="4857750" cy="647700"/>
                <wp:effectExtent l="0" t="0" r="19050" b="19050"/>
                <wp:wrapNone/>
                <wp:docPr id="3" name="大かっこ 3"/>
                <wp:cNvGraphicFramePr/>
                <a:graphic xmlns:a="http://schemas.openxmlformats.org/drawingml/2006/main">
                  <a:graphicData uri="http://schemas.microsoft.com/office/word/2010/wordprocessingShape">
                    <wps:wsp>
                      <wps:cNvSpPr/>
                      <wps:spPr>
                        <a:xfrm>
                          <a:off x="0" y="0"/>
                          <a:ext cx="4857750" cy="64770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9pt;margin-top:2.7pt;width:382.5pt;height: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" strokecolor="#4579b8 [3044]"/>
            </w:pict>
          </mc:Fallback>
        </mc:AlternateContent>
      </w:r>
      <w:r w:rsidRPr="005A2E38">
        <w:rPr>
          <w:rFonts w:asciiTheme="minorEastAsia" w:hAnsiTheme="minorEastAsia" w:hint="eastAsia"/>
        </w:rPr>
        <w:t>区分Ａ～Ｃについて（</w:t>
      </w:r>
      <w:r w:rsidRPr="005A2E38">
        <w:rPr>
          <w:rFonts w:hint="eastAsia"/>
        </w:rPr>
        <w:t>Ｐ３　図１中と同じ）</w:t>
      </w:r>
    </w:p>
    <w:p w:rsidR="00830F10" w:rsidRPr="005A2E38" w:rsidRDefault="00830F10" w:rsidP="00830F10">
      <w:pPr>
        <w:ind w:firstLineChars="200" w:firstLine="420"/>
        <w:rPr>
          <w:rFonts w:asciiTheme="minorEastAsia" w:hAnsiTheme="minorEastAsia"/>
        </w:rPr>
      </w:pPr>
      <w:r w:rsidRPr="005A2E38">
        <w:rPr>
          <w:rFonts w:asciiTheme="minorEastAsia" w:hAnsiTheme="minorEastAsia" w:hint="eastAsia"/>
        </w:rPr>
        <w:t xml:space="preserve">　Ａ：２，０００㎡以上　　　Ｂ：２，０００㎡未満かつ５０戸以上</w:t>
      </w:r>
    </w:p>
    <w:p w:rsidR="00993530" w:rsidRPr="005A2E38" w:rsidRDefault="00830F10" w:rsidP="00830F10">
      <w:pPr>
        <w:ind w:firstLineChars="200" w:firstLine="420"/>
      </w:pPr>
      <w:r w:rsidRPr="005A2E38">
        <w:rPr>
          <w:rFonts w:asciiTheme="minorEastAsia" w:hAnsiTheme="minorEastAsia" w:hint="eastAsia"/>
        </w:rPr>
        <w:t xml:space="preserve">　Ｃ：２，０００㎡未満かつ２０戸～４９戸</w:t>
      </w:r>
    </w:p>
    <w:p w:rsidR="00BA733D" w:rsidRPr="005A2E38" w:rsidRDefault="00BA733D">
      <w:pPr>
        <w:widowControl/>
        <w:jc w:val="left"/>
      </w:pPr>
      <w:r w:rsidRPr="005A2E38">
        <w:br w:type="page"/>
      </w:r>
    </w:p>
    <w:p w:rsidR="00A8465C" w:rsidRPr="00A8465C" w:rsidRDefault="00B44F51" w:rsidP="00A8465C">
      <w:pPr>
        <w:rPr>
          <w:rFonts w:asciiTheme="majorEastAsia" w:eastAsiaTheme="majorEastAsia" w:hAnsiTheme="majorEastAsia"/>
          <w:b/>
          <w:szCs w:val="21"/>
        </w:rPr>
      </w:pPr>
      <w:r>
        <w:rPr>
          <w:rFonts w:asciiTheme="majorEastAsia" w:eastAsiaTheme="majorEastAsia" w:hAnsiTheme="majorEastAsia" w:hint="eastAsia"/>
          <w:b/>
          <w:szCs w:val="21"/>
        </w:rPr>
        <w:lastRenderedPageBreak/>
        <w:t>c</w:t>
      </w:r>
      <w:r w:rsidR="00A8465C">
        <w:rPr>
          <w:rFonts w:asciiTheme="majorEastAsia" w:eastAsiaTheme="majorEastAsia" w:hAnsiTheme="majorEastAsia" w:hint="eastAsia"/>
          <w:b/>
          <w:szCs w:val="21"/>
        </w:rPr>
        <w:t>）</w:t>
      </w:r>
      <w:r w:rsidR="00A8465C" w:rsidRPr="00A8465C">
        <w:rPr>
          <w:rFonts w:asciiTheme="majorEastAsia" w:eastAsiaTheme="majorEastAsia" w:hAnsiTheme="majorEastAsia" w:hint="eastAsia"/>
          <w:b/>
          <w:szCs w:val="21"/>
        </w:rPr>
        <w:t>方針案についての考え方等</w:t>
      </w:r>
    </w:p>
    <w:p w:rsidR="00A8465C" w:rsidRPr="00B44F51" w:rsidRDefault="00A8465C" w:rsidP="00A8465C">
      <w:pPr>
        <w:ind w:leftChars="100" w:left="210"/>
        <w:rPr>
          <w:rFonts w:asciiTheme="minorEastAsia" w:hAnsiTheme="minorEastAsia"/>
        </w:rPr>
      </w:pPr>
      <w:r w:rsidRPr="00B44F51">
        <w:rPr>
          <w:rFonts w:asciiTheme="minorEastAsia" w:hAnsiTheme="minorEastAsia" w:hint="eastAsia"/>
        </w:rPr>
        <w:t>現行の条例の対象規模からさらに一歩踏み込んで、全国でもトップクラスの対象規模となる「2,000㎡以上または20戸以上」まで規模の拡大を行う。</w:t>
      </w:r>
    </w:p>
    <w:p w:rsidR="00A8465C" w:rsidRPr="00B44F51" w:rsidRDefault="00A8465C" w:rsidP="00A8465C">
      <w:pPr>
        <w:ind w:firstLineChars="100" w:firstLine="210"/>
        <w:rPr>
          <w:rFonts w:asciiTheme="minorEastAsia" w:hAnsiTheme="minorEastAsia"/>
        </w:rPr>
      </w:pPr>
      <w:r w:rsidRPr="00B44F51">
        <w:rPr>
          <w:rFonts w:asciiTheme="minorEastAsia" w:hAnsiTheme="minorEastAsia" w:hint="eastAsia"/>
        </w:rPr>
        <w:t xml:space="preserve">現行の対象規模　：2,000㎡以上または50戸以上　　</w:t>
      </w:r>
      <w:r w:rsidR="006E7433" w:rsidRPr="0054389B">
        <w:rPr>
          <w:rFonts w:asciiTheme="minorEastAsia" w:hAnsiTheme="minorEastAsia" w:hint="eastAsia"/>
        </w:rPr>
        <w:t>全体の</w:t>
      </w:r>
      <w:r w:rsidR="0054389B" w:rsidRPr="0054389B">
        <w:rPr>
          <w:rFonts w:asciiTheme="minorEastAsia" w:hAnsiTheme="minorEastAsia" w:hint="eastAsia"/>
        </w:rPr>
        <w:t>約６７</w:t>
      </w:r>
      <w:r w:rsidR="006E7433" w:rsidRPr="0054389B">
        <w:rPr>
          <w:rFonts w:asciiTheme="minorEastAsia" w:hAnsiTheme="minorEastAsia" w:hint="eastAsia"/>
        </w:rPr>
        <w:t>％</w:t>
      </w:r>
    </w:p>
    <w:p w:rsidR="00A8465C" w:rsidRPr="00B44F51" w:rsidRDefault="00A8465C" w:rsidP="00A8465C">
      <w:pPr>
        <w:ind w:firstLineChars="100" w:firstLine="210"/>
        <w:rPr>
          <w:rFonts w:asciiTheme="minorEastAsia" w:hAnsiTheme="minorEastAsia"/>
        </w:rPr>
      </w:pPr>
      <w:r w:rsidRPr="00B44F51">
        <w:rPr>
          <w:rFonts w:asciiTheme="minorEastAsia" w:hAnsiTheme="minorEastAsia" w:hint="eastAsia"/>
        </w:rPr>
        <w:t xml:space="preserve">改正案の対象規模：2,000㎡以上または20戸以上　　</w:t>
      </w:r>
      <w:r w:rsidR="0054389B" w:rsidRPr="0054389B">
        <w:rPr>
          <w:rFonts w:asciiTheme="minorEastAsia" w:hAnsiTheme="minorEastAsia" w:hint="eastAsia"/>
        </w:rPr>
        <w:t>全体の約７９</w:t>
      </w:r>
      <w:r w:rsidRPr="0054389B">
        <w:rPr>
          <w:rFonts w:asciiTheme="minorEastAsia" w:hAnsiTheme="minorEastAsia" w:hint="eastAsia"/>
        </w:rPr>
        <w:t>％</w:t>
      </w:r>
    </w:p>
    <w:p w:rsidR="00A8465C" w:rsidRPr="005A2E38" w:rsidRDefault="006E7433" w:rsidP="00A8465C">
      <w:pPr>
        <w:ind w:firstLineChars="100" w:firstLine="210"/>
        <w:rPr>
          <w:rFonts w:asciiTheme="minorEastAsia" w:hAnsiTheme="minorEastAsia"/>
        </w:rPr>
      </w:pPr>
      <w:r>
        <w:rPr>
          <w:rFonts w:asciiTheme="minorEastAsia" w:hAnsiTheme="minorEastAsia" w:hint="eastAsia"/>
        </w:rPr>
        <w:t>（詳細のグラフは次ページ　表１「共同</w:t>
      </w:r>
      <w:r w:rsidRPr="005A2E38">
        <w:rPr>
          <w:rFonts w:asciiTheme="minorEastAsia" w:hAnsiTheme="minorEastAsia" w:hint="eastAsia"/>
        </w:rPr>
        <w:t>住宅</w:t>
      </w:r>
      <w:r w:rsidR="007639FF" w:rsidRPr="005A2E38">
        <w:rPr>
          <w:rFonts w:asciiTheme="minorEastAsia" w:hAnsiTheme="minorEastAsia" w:hint="eastAsia"/>
        </w:rPr>
        <w:t>の規模別分布</w:t>
      </w:r>
      <w:r w:rsidRPr="005A2E38">
        <w:rPr>
          <w:rFonts w:asciiTheme="minorEastAsia" w:hAnsiTheme="minorEastAsia" w:hint="eastAsia"/>
        </w:rPr>
        <w:t>状況」を参照）</w:t>
      </w:r>
    </w:p>
    <w:p w:rsidR="006E7433" w:rsidRPr="005A2E38" w:rsidRDefault="006E7433" w:rsidP="00A8465C">
      <w:pPr>
        <w:ind w:firstLineChars="100" w:firstLine="210"/>
        <w:rPr>
          <w:rFonts w:asciiTheme="minorEastAsia" w:hAnsiTheme="minorEastAsia"/>
        </w:rPr>
      </w:pPr>
    </w:p>
    <w:p w:rsidR="00B44F51" w:rsidRPr="005A2E38" w:rsidRDefault="00A8465C" w:rsidP="00A8465C">
      <w:pPr>
        <w:ind w:leftChars="100" w:left="210"/>
        <w:rPr>
          <w:rFonts w:asciiTheme="minorEastAsia" w:hAnsiTheme="minorEastAsia"/>
        </w:rPr>
      </w:pPr>
      <w:r w:rsidRPr="005A2E38">
        <w:rPr>
          <w:rFonts w:asciiTheme="minorEastAsia" w:hAnsiTheme="minorEastAsia" w:hint="eastAsia"/>
        </w:rPr>
        <w:t>ただ、対象とした共同住宅すべて</w:t>
      </w:r>
      <w:r w:rsidR="002643CB" w:rsidRPr="005A2E38">
        <w:rPr>
          <w:rFonts w:asciiTheme="minorEastAsia" w:hAnsiTheme="minorEastAsia" w:hint="eastAsia"/>
        </w:rPr>
        <w:t>（区分Ａ・Ｂ・Ｃ）</w:t>
      </w:r>
      <w:r w:rsidRPr="005A2E38">
        <w:rPr>
          <w:rFonts w:asciiTheme="minorEastAsia" w:hAnsiTheme="minorEastAsia" w:hint="eastAsia"/>
        </w:rPr>
        <w:t>にエレベーターの設</w:t>
      </w:r>
      <w:r w:rsidR="002643CB" w:rsidRPr="005A2E38">
        <w:rPr>
          <w:rFonts w:asciiTheme="minorEastAsia" w:hAnsiTheme="minorEastAsia" w:hint="eastAsia"/>
        </w:rPr>
        <w:t>置や共用便所等に対する基準を課すことは、事業者の過度な負担となり、ひいては家賃の上昇にもつながる</w:t>
      </w:r>
      <w:r w:rsidR="00EF33AA" w:rsidRPr="005A2E38">
        <w:rPr>
          <w:rFonts w:asciiTheme="minorEastAsia" w:hAnsiTheme="minorEastAsia" w:hint="eastAsia"/>
        </w:rPr>
        <w:t>可能性がある</w:t>
      </w:r>
      <w:r w:rsidRPr="005A2E38">
        <w:rPr>
          <w:rFonts w:asciiTheme="minorEastAsia" w:hAnsiTheme="minorEastAsia" w:hint="eastAsia"/>
        </w:rPr>
        <w:t>ため、</w:t>
      </w:r>
      <w:r w:rsidR="002643CB" w:rsidRPr="005A2E38">
        <w:rPr>
          <w:rFonts w:asciiTheme="minorEastAsia" w:hAnsiTheme="minorEastAsia" w:hint="eastAsia"/>
        </w:rPr>
        <w:t>一定規模未満の共同住宅（案１：区分Ａのみ、案２：区分Ａ・Ｂ）については、</w:t>
      </w:r>
      <w:r w:rsidRPr="005A2E38">
        <w:rPr>
          <w:rFonts w:asciiTheme="minorEastAsia" w:hAnsiTheme="minorEastAsia" w:hint="eastAsia"/>
        </w:rPr>
        <w:t>地上階にある</w:t>
      </w:r>
      <w:r w:rsidR="002643CB" w:rsidRPr="005A2E38">
        <w:rPr>
          <w:rFonts w:asciiTheme="minorEastAsia" w:hAnsiTheme="minorEastAsia" w:hint="eastAsia"/>
        </w:rPr>
        <w:t>各</w:t>
      </w:r>
      <w:r w:rsidRPr="005A2E38">
        <w:rPr>
          <w:rFonts w:asciiTheme="minorEastAsia" w:hAnsiTheme="minorEastAsia" w:hint="eastAsia"/>
        </w:rPr>
        <w:t>住戸の出入口までのバリアフリー化を求めるものとする。なお、地上階にある住戸までの経路の確保は、障がい者や高齢者がアクセス可能な住宅を供給する</w:t>
      </w:r>
      <w:r w:rsidR="002643CB" w:rsidRPr="005A2E38">
        <w:rPr>
          <w:rFonts w:asciiTheme="minorEastAsia" w:hAnsiTheme="minorEastAsia" w:hint="eastAsia"/>
        </w:rPr>
        <w:t>ために</w:t>
      </w:r>
      <w:r w:rsidRPr="005A2E38">
        <w:rPr>
          <w:rFonts w:asciiTheme="minorEastAsia" w:hAnsiTheme="minorEastAsia" w:hint="eastAsia"/>
        </w:rPr>
        <w:t>必要最低限の基準となると考えられる。</w:t>
      </w:r>
    </w:p>
    <w:p w:rsidR="006E7433" w:rsidRPr="005A2E38" w:rsidRDefault="006E7433" w:rsidP="00A8465C">
      <w:pPr>
        <w:ind w:leftChars="100" w:left="210"/>
        <w:rPr>
          <w:rFonts w:asciiTheme="minorEastAsia" w:hAnsiTheme="minorEastAsia"/>
        </w:rPr>
      </w:pPr>
    </w:p>
    <w:p w:rsidR="00E6622A" w:rsidRDefault="00A017AD" w:rsidP="006E7433">
      <w:pPr>
        <w:ind w:firstLineChars="100" w:firstLine="210"/>
        <w:rPr>
          <w:rFonts w:asciiTheme="minorEastAsia" w:hAnsiTheme="minorEastAsia"/>
        </w:rPr>
      </w:pPr>
      <w:r w:rsidRPr="005A2E38">
        <w:rPr>
          <w:rFonts w:asciiTheme="minorEastAsia" w:hAnsiTheme="minorEastAsia" w:hint="eastAsia"/>
        </w:rPr>
        <w:t>共同住宅における対象規模ごとの捕捉率は下図</w:t>
      </w:r>
      <w:r w:rsidR="00A8465C" w:rsidRPr="005A2E38">
        <w:rPr>
          <w:rFonts w:asciiTheme="minorEastAsia" w:hAnsiTheme="minorEastAsia" w:hint="eastAsia"/>
        </w:rPr>
        <w:t>の</w:t>
      </w:r>
      <w:r w:rsidR="00A8465C" w:rsidRPr="00B44F51">
        <w:rPr>
          <w:rFonts w:asciiTheme="minorEastAsia" w:hAnsiTheme="minorEastAsia" w:hint="eastAsia"/>
        </w:rPr>
        <w:t>とおり。（平成25年</w:t>
      </w:r>
      <w:r w:rsidR="006E7433">
        <w:rPr>
          <w:rFonts w:asciiTheme="minorEastAsia" w:hAnsiTheme="minorEastAsia" w:hint="eastAsia"/>
        </w:rPr>
        <w:t>府内</w:t>
      </w:r>
      <w:r w:rsidR="00A8465C" w:rsidRPr="00B44F51">
        <w:rPr>
          <w:rFonts w:asciiTheme="minorEastAsia" w:hAnsiTheme="minorEastAsia" w:hint="eastAsia"/>
        </w:rPr>
        <w:t>確認申請実績より）</w:t>
      </w:r>
    </w:p>
    <w:p w:rsidR="006E7433" w:rsidRDefault="00A017AD" w:rsidP="006E7433">
      <w:pPr>
        <w:ind w:firstLineChars="100" w:firstLine="210"/>
        <w:rPr>
          <w:rFonts w:asciiTheme="minorEastAsia" w:hAnsiTheme="minorEastAsia"/>
        </w:rPr>
      </w:pPr>
      <w:r>
        <w:rPr>
          <w:rFonts w:asciiTheme="minorEastAsia" w:hAnsiTheme="minorEastAsia"/>
          <w:noProof/>
        </w:rPr>
        <w:drawing>
          <wp:anchor distT="0" distB="0" distL="114300" distR="114300" simplePos="0" relativeHeight="251658240" behindDoc="0" locked="0" layoutInCell="1" allowOverlap="1" wp14:anchorId="4CF79426" wp14:editId="50FB4F45">
            <wp:simplePos x="0" y="0"/>
            <wp:positionH relativeFrom="column">
              <wp:posOffset>173355</wp:posOffset>
            </wp:positionH>
            <wp:positionV relativeFrom="paragraph">
              <wp:posOffset>24765</wp:posOffset>
            </wp:positionV>
            <wp:extent cx="5896610" cy="3551555"/>
            <wp:effectExtent l="0" t="0" r="889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96610" cy="3551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6622A" w:rsidRPr="00B44F51" w:rsidRDefault="00E6622A" w:rsidP="00A8465C">
      <w:pPr>
        <w:ind w:firstLineChars="100" w:firstLine="210"/>
        <w:rPr>
          <w:rFonts w:asciiTheme="minorEastAsia" w:hAnsiTheme="minorEastAsia"/>
        </w:rPr>
      </w:pPr>
    </w:p>
    <w:p w:rsidR="00A26AF5" w:rsidRDefault="00A26AF5" w:rsidP="00E6622A">
      <w:pPr>
        <w:rPr>
          <w:rFonts w:asciiTheme="minorEastAsia" w:hAnsiTheme="minorEastAsia"/>
        </w:rPr>
      </w:pPr>
    </w:p>
    <w:p w:rsidR="00A26AF5" w:rsidRDefault="00A26AF5"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302B2B" w:rsidRDefault="00302B2B" w:rsidP="00A8465C">
      <w:pPr>
        <w:ind w:leftChars="100" w:left="210" w:firstLineChars="100" w:firstLine="210"/>
        <w:rPr>
          <w:rFonts w:asciiTheme="minorEastAsia" w:hAnsiTheme="minorEastAsia"/>
        </w:rPr>
      </w:pPr>
    </w:p>
    <w:p w:rsidR="00A017AD" w:rsidRDefault="00A017AD" w:rsidP="006E7433">
      <w:pPr>
        <w:ind w:firstLineChars="200" w:firstLine="420"/>
        <w:rPr>
          <w:rFonts w:asciiTheme="minorEastAsia" w:hAnsiTheme="minorEastAsia"/>
        </w:rPr>
      </w:pPr>
    </w:p>
    <w:p w:rsidR="006E7433" w:rsidRDefault="00A017AD" w:rsidP="006E7433">
      <w:pPr>
        <w:ind w:firstLineChars="200" w:firstLine="420"/>
        <w:rPr>
          <w:rFonts w:asciiTheme="minorEastAsia" w:hAnsiTheme="minorEastAsia"/>
        </w:rPr>
      </w:pPr>
      <w:r w:rsidRPr="005A2E38">
        <w:rPr>
          <w:rFonts w:asciiTheme="minorEastAsia" w:hAnsiTheme="minorEastAsia" w:hint="eastAsia"/>
        </w:rPr>
        <w:t>図</w:t>
      </w:r>
      <w:r w:rsidR="006E7433" w:rsidRPr="005A2E38">
        <w:rPr>
          <w:rFonts w:asciiTheme="minorEastAsia" w:hAnsiTheme="minorEastAsia" w:hint="eastAsia"/>
        </w:rPr>
        <w:t>中のＡ</w:t>
      </w:r>
      <w:r w:rsidR="006E7433">
        <w:rPr>
          <w:rFonts w:asciiTheme="minorEastAsia" w:hAnsiTheme="minorEastAsia" w:hint="eastAsia"/>
        </w:rPr>
        <w:t>～Ｄの区分は以下のとおり。</w:t>
      </w:r>
    </w:p>
    <w:tbl>
      <w:tblPr>
        <w:tblStyle w:val="a3"/>
        <w:tblW w:w="0" w:type="auto"/>
        <w:tblInd w:w="817" w:type="dxa"/>
        <w:tblLook w:val="04A0" w:firstRow="1" w:lastRow="0" w:firstColumn="1" w:lastColumn="0" w:noHBand="0" w:noVBand="1"/>
      </w:tblPr>
      <w:tblGrid>
        <w:gridCol w:w="749"/>
        <w:gridCol w:w="3827"/>
        <w:gridCol w:w="1519"/>
        <w:gridCol w:w="2733"/>
      </w:tblGrid>
      <w:tr w:rsidR="006E7433" w:rsidTr="006E7433">
        <w:tc>
          <w:tcPr>
            <w:tcW w:w="749" w:type="dxa"/>
          </w:tcPr>
          <w:p w:rsidR="006E7433" w:rsidRDefault="006E7433" w:rsidP="006E7433">
            <w:pPr>
              <w:jc w:val="center"/>
              <w:rPr>
                <w:rFonts w:asciiTheme="minorEastAsia" w:hAnsiTheme="minorEastAsia"/>
              </w:rPr>
            </w:pPr>
            <w:r>
              <w:rPr>
                <w:rFonts w:asciiTheme="minorEastAsia" w:hAnsiTheme="minorEastAsia" w:hint="eastAsia"/>
              </w:rPr>
              <w:t>区分</w:t>
            </w:r>
          </w:p>
        </w:tc>
        <w:tc>
          <w:tcPr>
            <w:tcW w:w="3827" w:type="dxa"/>
          </w:tcPr>
          <w:p w:rsidR="006E7433" w:rsidRDefault="006E7433" w:rsidP="006E7433">
            <w:pPr>
              <w:jc w:val="center"/>
              <w:rPr>
                <w:rFonts w:asciiTheme="minorEastAsia" w:hAnsiTheme="minorEastAsia"/>
              </w:rPr>
            </w:pPr>
            <w:r>
              <w:rPr>
                <w:rFonts w:asciiTheme="minorEastAsia" w:hAnsiTheme="minorEastAsia" w:hint="eastAsia"/>
              </w:rPr>
              <w:t>対象</w:t>
            </w:r>
          </w:p>
        </w:tc>
        <w:tc>
          <w:tcPr>
            <w:tcW w:w="1519" w:type="dxa"/>
          </w:tcPr>
          <w:p w:rsidR="006E7433" w:rsidRDefault="006E7433" w:rsidP="006E7433">
            <w:pPr>
              <w:jc w:val="center"/>
              <w:rPr>
                <w:rFonts w:asciiTheme="minorEastAsia" w:hAnsiTheme="minorEastAsia"/>
              </w:rPr>
            </w:pPr>
            <w:r>
              <w:rPr>
                <w:rFonts w:asciiTheme="minorEastAsia" w:hAnsiTheme="minorEastAsia" w:hint="eastAsia"/>
              </w:rPr>
              <w:t>割合</w:t>
            </w:r>
          </w:p>
        </w:tc>
        <w:tc>
          <w:tcPr>
            <w:tcW w:w="2733" w:type="dxa"/>
          </w:tcPr>
          <w:p w:rsidR="006E7433" w:rsidRDefault="006E7433" w:rsidP="006E7433">
            <w:pPr>
              <w:jc w:val="center"/>
              <w:rPr>
                <w:rFonts w:asciiTheme="minorEastAsia" w:hAnsiTheme="minorEastAsia"/>
              </w:rPr>
            </w:pPr>
            <w:r>
              <w:rPr>
                <w:rFonts w:asciiTheme="minorEastAsia" w:hAnsiTheme="minorEastAsia" w:hint="eastAsia"/>
              </w:rPr>
              <w:t>備考</w:t>
            </w:r>
          </w:p>
        </w:tc>
      </w:tr>
      <w:tr w:rsidR="006E7433" w:rsidTr="006E7433">
        <w:tc>
          <w:tcPr>
            <w:tcW w:w="749" w:type="dxa"/>
          </w:tcPr>
          <w:p w:rsidR="006E7433" w:rsidRDefault="006E7433" w:rsidP="006E7433">
            <w:pPr>
              <w:jc w:val="center"/>
              <w:rPr>
                <w:rFonts w:asciiTheme="minorEastAsia" w:hAnsiTheme="minorEastAsia"/>
              </w:rPr>
            </w:pPr>
            <w:r>
              <w:rPr>
                <w:rFonts w:asciiTheme="minorEastAsia" w:hAnsiTheme="minorEastAsia" w:hint="eastAsia"/>
              </w:rPr>
              <w:t>Ａ</w:t>
            </w:r>
          </w:p>
        </w:tc>
        <w:tc>
          <w:tcPr>
            <w:tcW w:w="3827" w:type="dxa"/>
          </w:tcPr>
          <w:p w:rsidR="006E7433" w:rsidRDefault="006E7433" w:rsidP="00A8465C">
            <w:pPr>
              <w:rPr>
                <w:rFonts w:asciiTheme="minorEastAsia" w:hAnsiTheme="minorEastAsia"/>
              </w:rPr>
            </w:pPr>
            <w:r>
              <w:rPr>
                <w:rFonts w:asciiTheme="minorEastAsia" w:hAnsiTheme="minorEastAsia" w:hint="eastAsia"/>
              </w:rPr>
              <w:t>２，０００㎡以上</w:t>
            </w:r>
          </w:p>
        </w:tc>
        <w:tc>
          <w:tcPr>
            <w:tcW w:w="1519" w:type="dxa"/>
          </w:tcPr>
          <w:p w:rsidR="006E7433" w:rsidRDefault="006E7433" w:rsidP="006E7433">
            <w:pPr>
              <w:rPr>
                <w:rFonts w:asciiTheme="minorEastAsia" w:hAnsiTheme="minorEastAsia"/>
              </w:rPr>
            </w:pPr>
            <w:r>
              <w:rPr>
                <w:rFonts w:asciiTheme="minorEastAsia" w:hAnsiTheme="minorEastAsia" w:hint="eastAsia"/>
              </w:rPr>
              <w:t>６３．９％</w:t>
            </w:r>
          </w:p>
        </w:tc>
        <w:tc>
          <w:tcPr>
            <w:tcW w:w="2733" w:type="dxa"/>
          </w:tcPr>
          <w:p w:rsidR="006E7433" w:rsidRDefault="006E7433" w:rsidP="006E7433">
            <w:pPr>
              <w:rPr>
                <w:rFonts w:asciiTheme="minorEastAsia" w:hAnsiTheme="minorEastAsia"/>
              </w:rPr>
            </w:pPr>
            <w:r>
              <w:rPr>
                <w:rFonts w:asciiTheme="minorEastAsia" w:hAnsiTheme="minorEastAsia" w:hint="eastAsia"/>
              </w:rPr>
              <w:t>現行条例対象</w:t>
            </w:r>
          </w:p>
        </w:tc>
      </w:tr>
      <w:tr w:rsidR="006E7433" w:rsidTr="006E7433">
        <w:tc>
          <w:tcPr>
            <w:tcW w:w="749" w:type="dxa"/>
          </w:tcPr>
          <w:p w:rsidR="006E7433" w:rsidRDefault="006E7433" w:rsidP="006E7433">
            <w:pPr>
              <w:jc w:val="center"/>
              <w:rPr>
                <w:rFonts w:asciiTheme="minorEastAsia" w:hAnsiTheme="minorEastAsia"/>
              </w:rPr>
            </w:pPr>
            <w:r>
              <w:rPr>
                <w:rFonts w:asciiTheme="minorEastAsia" w:hAnsiTheme="minorEastAsia" w:hint="eastAsia"/>
              </w:rPr>
              <w:t>Ｂ</w:t>
            </w:r>
          </w:p>
        </w:tc>
        <w:tc>
          <w:tcPr>
            <w:tcW w:w="3827" w:type="dxa"/>
          </w:tcPr>
          <w:p w:rsidR="006E7433" w:rsidRDefault="006E7433" w:rsidP="00A8465C">
            <w:pPr>
              <w:rPr>
                <w:rFonts w:asciiTheme="minorEastAsia" w:hAnsiTheme="minorEastAsia"/>
              </w:rPr>
            </w:pPr>
            <w:r>
              <w:rPr>
                <w:rFonts w:asciiTheme="minorEastAsia" w:hAnsiTheme="minorEastAsia" w:hint="eastAsia"/>
              </w:rPr>
              <w:t>２，０００㎡未満かつ５０戸以上</w:t>
            </w:r>
          </w:p>
        </w:tc>
        <w:tc>
          <w:tcPr>
            <w:tcW w:w="1519" w:type="dxa"/>
          </w:tcPr>
          <w:p w:rsidR="006E7433" w:rsidRDefault="006E7433" w:rsidP="006E7433">
            <w:pPr>
              <w:ind w:firstLineChars="100" w:firstLine="210"/>
              <w:rPr>
                <w:rFonts w:asciiTheme="minorEastAsia" w:hAnsiTheme="minorEastAsia"/>
              </w:rPr>
            </w:pPr>
            <w:r>
              <w:rPr>
                <w:rFonts w:asciiTheme="minorEastAsia" w:hAnsiTheme="minorEastAsia" w:hint="eastAsia"/>
              </w:rPr>
              <w:t>２．９％</w:t>
            </w:r>
          </w:p>
        </w:tc>
        <w:tc>
          <w:tcPr>
            <w:tcW w:w="2733" w:type="dxa"/>
          </w:tcPr>
          <w:p w:rsidR="006E7433" w:rsidRDefault="006E7433" w:rsidP="006E7433">
            <w:pPr>
              <w:rPr>
                <w:rFonts w:asciiTheme="minorEastAsia" w:hAnsiTheme="minorEastAsia"/>
              </w:rPr>
            </w:pPr>
            <w:r>
              <w:rPr>
                <w:rFonts w:asciiTheme="minorEastAsia" w:hAnsiTheme="minorEastAsia" w:hint="eastAsia"/>
              </w:rPr>
              <w:t>現行条例対象</w:t>
            </w:r>
          </w:p>
        </w:tc>
      </w:tr>
      <w:tr w:rsidR="006E7433" w:rsidTr="006E7433">
        <w:tc>
          <w:tcPr>
            <w:tcW w:w="749" w:type="dxa"/>
          </w:tcPr>
          <w:p w:rsidR="006E7433" w:rsidRDefault="006E7433" w:rsidP="006E7433">
            <w:pPr>
              <w:jc w:val="center"/>
              <w:rPr>
                <w:rFonts w:asciiTheme="minorEastAsia" w:hAnsiTheme="minorEastAsia"/>
              </w:rPr>
            </w:pPr>
            <w:r>
              <w:rPr>
                <w:rFonts w:asciiTheme="minorEastAsia" w:hAnsiTheme="minorEastAsia" w:hint="eastAsia"/>
              </w:rPr>
              <w:t>Ｃ</w:t>
            </w:r>
          </w:p>
        </w:tc>
        <w:tc>
          <w:tcPr>
            <w:tcW w:w="3827" w:type="dxa"/>
          </w:tcPr>
          <w:p w:rsidR="006E7433" w:rsidRDefault="006E7433" w:rsidP="00A8465C">
            <w:pPr>
              <w:rPr>
                <w:rFonts w:asciiTheme="minorEastAsia" w:hAnsiTheme="minorEastAsia"/>
              </w:rPr>
            </w:pPr>
            <w:r>
              <w:rPr>
                <w:rFonts w:asciiTheme="minorEastAsia" w:hAnsiTheme="minorEastAsia" w:hint="eastAsia"/>
              </w:rPr>
              <w:t>２，０００㎡未満かつ２０戸～４９戸</w:t>
            </w:r>
          </w:p>
        </w:tc>
        <w:tc>
          <w:tcPr>
            <w:tcW w:w="1519" w:type="dxa"/>
          </w:tcPr>
          <w:p w:rsidR="006E7433" w:rsidRDefault="006E7433" w:rsidP="006E7433">
            <w:pPr>
              <w:rPr>
                <w:rFonts w:asciiTheme="minorEastAsia" w:hAnsiTheme="minorEastAsia"/>
              </w:rPr>
            </w:pPr>
            <w:r>
              <w:rPr>
                <w:rFonts w:asciiTheme="minorEastAsia" w:hAnsiTheme="minorEastAsia" w:hint="eastAsia"/>
              </w:rPr>
              <w:t>１１．８％</w:t>
            </w:r>
          </w:p>
        </w:tc>
        <w:tc>
          <w:tcPr>
            <w:tcW w:w="2733" w:type="dxa"/>
          </w:tcPr>
          <w:p w:rsidR="006E7433" w:rsidRPr="006E7433" w:rsidRDefault="006E7433" w:rsidP="006E7433">
            <w:pPr>
              <w:rPr>
                <w:rFonts w:asciiTheme="minorEastAsia" w:hAnsiTheme="minorEastAsia"/>
                <w:b/>
              </w:rPr>
            </w:pPr>
            <w:r w:rsidRPr="006E7433">
              <w:rPr>
                <w:rFonts w:asciiTheme="minorEastAsia" w:hAnsiTheme="minorEastAsia" w:hint="eastAsia"/>
                <w:b/>
              </w:rPr>
              <w:t>新たに対象に追加</w:t>
            </w:r>
          </w:p>
        </w:tc>
      </w:tr>
      <w:tr w:rsidR="006E7433" w:rsidTr="006E7433">
        <w:tc>
          <w:tcPr>
            <w:tcW w:w="749" w:type="dxa"/>
          </w:tcPr>
          <w:p w:rsidR="006E7433" w:rsidRDefault="006E7433" w:rsidP="006E7433">
            <w:pPr>
              <w:jc w:val="center"/>
              <w:rPr>
                <w:rFonts w:asciiTheme="minorEastAsia" w:hAnsiTheme="minorEastAsia"/>
              </w:rPr>
            </w:pPr>
            <w:r>
              <w:rPr>
                <w:rFonts w:asciiTheme="minorEastAsia" w:hAnsiTheme="minorEastAsia" w:hint="eastAsia"/>
              </w:rPr>
              <w:t>Ｄ</w:t>
            </w:r>
          </w:p>
        </w:tc>
        <w:tc>
          <w:tcPr>
            <w:tcW w:w="3827" w:type="dxa"/>
          </w:tcPr>
          <w:p w:rsidR="006E7433" w:rsidRDefault="006E7433" w:rsidP="00A8465C">
            <w:pPr>
              <w:rPr>
                <w:rFonts w:asciiTheme="minorEastAsia" w:hAnsiTheme="minorEastAsia"/>
              </w:rPr>
            </w:pPr>
            <w:r>
              <w:rPr>
                <w:rFonts w:asciiTheme="minorEastAsia" w:hAnsiTheme="minorEastAsia" w:hint="eastAsia"/>
              </w:rPr>
              <w:t>２，０００㎡未満かつ１９戸以下</w:t>
            </w:r>
          </w:p>
        </w:tc>
        <w:tc>
          <w:tcPr>
            <w:tcW w:w="1519" w:type="dxa"/>
          </w:tcPr>
          <w:p w:rsidR="006E7433" w:rsidRDefault="006E7433" w:rsidP="006E7433">
            <w:pPr>
              <w:rPr>
                <w:rFonts w:asciiTheme="minorEastAsia" w:hAnsiTheme="minorEastAsia"/>
              </w:rPr>
            </w:pPr>
            <w:r>
              <w:rPr>
                <w:rFonts w:asciiTheme="minorEastAsia" w:hAnsiTheme="minorEastAsia" w:hint="eastAsia"/>
              </w:rPr>
              <w:t>２１．４％</w:t>
            </w:r>
          </w:p>
        </w:tc>
        <w:tc>
          <w:tcPr>
            <w:tcW w:w="2733" w:type="dxa"/>
          </w:tcPr>
          <w:p w:rsidR="006E7433" w:rsidRDefault="006E7433" w:rsidP="006E7433">
            <w:pPr>
              <w:rPr>
                <w:rFonts w:asciiTheme="minorEastAsia" w:hAnsiTheme="minorEastAsia"/>
              </w:rPr>
            </w:pPr>
            <w:r>
              <w:rPr>
                <w:rFonts w:asciiTheme="minorEastAsia" w:hAnsiTheme="minorEastAsia" w:hint="eastAsia"/>
              </w:rPr>
              <w:t>改正後も対象外</w:t>
            </w:r>
          </w:p>
        </w:tc>
      </w:tr>
    </w:tbl>
    <w:p w:rsidR="00302B2B" w:rsidRDefault="0054389B" w:rsidP="00A8465C">
      <w:pPr>
        <w:ind w:leftChars="100" w:left="210" w:firstLineChars="100" w:firstLine="210"/>
        <w:rPr>
          <w:rFonts w:asciiTheme="minorEastAsia" w:hAnsiTheme="minorEastAsia"/>
        </w:rPr>
      </w:pPr>
      <w:r>
        <w:rPr>
          <w:rFonts w:asciiTheme="minorEastAsia" w:hAnsiTheme="minorEastAsia" w:hint="eastAsia"/>
        </w:rPr>
        <w:t xml:space="preserve">　　※このグラフと表における割合は、床面積の積み上げにより算出しています。</w:t>
      </w:r>
    </w:p>
    <w:p w:rsidR="00754191" w:rsidRDefault="00754191" w:rsidP="00A8465C">
      <w:pPr>
        <w:ind w:leftChars="100" w:left="210" w:firstLineChars="100" w:firstLine="210"/>
      </w:pPr>
      <w:r>
        <w:br w:type="page"/>
      </w:r>
    </w:p>
    <w:tbl>
      <w:tblPr>
        <w:tblStyle w:val="a3"/>
        <w:tblW w:w="0" w:type="auto"/>
        <w:shd w:val="clear" w:color="auto" w:fill="000000" w:themeFill="text1"/>
        <w:tblLook w:val="04A0" w:firstRow="1" w:lastRow="0" w:firstColumn="1" w:lastColumn="0" w:noHBand="0" w:noVBand="1"/>
      </w:tblPr>
      <w:tblGrid>
        <w:gridCol w:w="9944"/>
      </w:tblGrid>
      <w:tr w:rsidR="006C3FBF" w:rsidRPr="006C3FBF" w:rsidTr="004D26B8">
        <w:tc>
          <w:tcPr>
            <w:tcW w:w="9944" w:type="dxa"/>
            <w:shd w:val="clear" w:color="auto" w:fill="000000" w:themeFill="text1"/>
          </w:tcPr>
          <w:p w:rsidR="004D26B8" w:rsidRPr="006C3FBF" w:rsidRDefault="00B44F51" w:rsidP="004D26B8">
            <w:pPr>
              <w:rPr>
                <w:rFonts w:asciiTheme="majorEastAsia" w:eastAsiaTheme="majorEastAsia" w:hAnsiTheme="majorEastAsia"/>
              </w:rPr>
            </w:pPr>
            <w:r>
              <w:rPr>
                <w:rFonts w:asciiTheme="majorEastAsia" w:eastAsiaTheme="majorEastAsia" w:hAnsiTheme="majorEastAsia" w:hint="eastAsia"/>
              </w:rPr>
              <w:lastRenderedPageBreak/>
              <w:t>イ</w:t>
            </w:r>
            <w:r w:rsidR="004D26B8" w:rsidRPr="006C3FBF">
              <w:rPr>
                <w:rFonts w:asciiTheme="majorEastAsia" w:eastAsiaTheme="majorEastAsia" w:hAnsiTheme="majorEastAsia" w:hint="eastAsia"/>
              </w:rPr>
              <w:t>．</w:t>
            </w:r>
            <w:r w:rsidR="00754191">
              <w:rPr>
                <w:rFonts w:asciiTheme="majorEastAsia" w:eastAsiaTheme="majorEastAsia" w:hAnsiTheme="majorEastAsia" w:hint="eastAsia"/>
              </w:rPr>
              <w:t>自動車修理工場の基準適合義務対象規模の見直し</w:t>
            </w:r>
          </w:p>
        </w:tc>
      </w:tr>
    </w:tbl>
    <w:p w:rsidR="00B44F51" w:rsidRPr="00EB67D4" w:rsidRDefault="00B44F51" w:rsidP="00B44F51">
      <w:pPr>
        <w:rPr>
          <w:rFonts w:asciiTheme="majorEastAsia" w:eastAsiaTheme="majorEastAsia" w:hAnsiTheme="majorEastAsia"/>
          <w:b/>
          <w:szCs w:val="21"/>
        </w:rPr>
      </w:pPr>
      <w:r>
        <w:rPr>
          <w:rFonts w:asciiTheme="majorEastAsia" w:eastAsiaTheme="majorEastAsia" w:hAnsiTheme="majorEastAsia" w:hint="eastAsia"/>
          <w:b/>
          <w:szCs w:val="21"/>
        </w:rPr>
        <w:t>a</w:t>
      </w:r>
      <w:r w:rsidRPr="00A8465C">
        <w:rPr>
          <w:rFonts w:asciiTheme="majorEastAsia" w:eastAsiaTheme="majorEastAsia" w:hAnsiTheme="majorEastAsia" w:hint="eastAsia"/>
          <w:b/>
          <w:szCs w:val="21"/>
        </w:rPr>
        <w:t>）</w:t>
      </w:r>
      <w:r w:rsidRPr="00B44F51">
        <w:rPr>
          <w:rFonts w:asciiTheme="majorEastAsia" w:eastAsiaTheme="majorEastAsia" w:hAnsiTheme="majorEastAsia" w:hint="eastAsia"/>
          <w:b/>
          <w:szCs w:val="21"/>
        </w:rPr>
        <w:t>審議会の議論</w:t>
      </w:r>
      <w:r w:rsidRPr="00EB67D4">
        <w:rPr>
          <w:rFonts w:asciiTheme="majorEastAsia" w:eastAsiaTheme="majorEastAsia" w:hAnsiTheme="majorEastAsia" w:hint="eastAsia"/>
          <w:b/>
          <w:szCs w:val="21"/>
        </w:rPr>
        <w:t>等により把握している課題、論点</w:t>
      </w:r>
    </w:p>
    <w:p w:rsidR="00B44F51" w:rsidRPr="00EB67D4" w:rsidRDefault="00B44F51" w:rsidP="0054389B">
      <w:pPr>
        <w:ind w:leftChars="100" w:left="420" w:hangingChars="100" w:hanging="210"/>
      </w:pPr>
      <w:r w:rsidRPr="00EB67D4">
        <w:rPr>
          <w:rFonts w:hint="eastAsia"/>
        </w:rPr>
        <w:t>○平成</w:t>
      </w:r>
      <w:r w:rsidRPr="00EB67D4">
        <w:rPr>
          <w:rFonts w:hint="eastAsia"/>
        </w:rPr>
        <w:t>15</w:t>
      </w:r>
      <w:r w:rsidRPr="00EB67D4">
        <w:rPr>
          <w:rFonts w:hint="eastAsia"/>
        </w:rPr>
        <w:t>年の条例改正時に「都市生活において府民が日常的に利用する施設であり、利用者の安全を図ることを目的」として規定されたもの。</w:t>
      </w:r>
    </w:p>
    <w:p w:rsidR="00B44F51" w:rsidRPr="00EB67D4" w:rsidRDefault="00B44F51" w:rsidP="0054389B">
      <w:pPr>
        <w:ind w:firstLineChars="100" w:firstLine="210"/>
      </w:pPr>
      <w:r w:rsidRPr="00EB67D4">
        <w:rPr>
          <w:rFonts w:hint="eastAsia"/>
        </w:rPr>
        <w:t>○全国的に見ても、大阪府だけが小規模な自動車修理工場を対象としている。</w:t>
      </w:r>
    </w:p>
    <w:p w:rsidR="002B2D7A" w:rsidRPr="00EB67D4" w:rsidRDefault="00B44F51" w:rsidP="0054389B">
      <w:pPr>
        <w:ind w:leftChars="100" w:left="420" w:hangingChars="100" w:hanging="210"/>
      </w:pPr>
      <w:r w:rsidRPr="00EB67D4">
        <w:rPr>
          <w:rFonts w:hint="eastAsia"/>
        </w:rPr>
        <w:t>○府民が自ら直接自動車を持ち込むケースだけでなく、主として</w:t>
      </w:r>
      <w:r w:rsidR="0054389B">
        <w:rPr>
          <w:rFonts w:hint="eastAsia"/>
        </w:rPr>
        <w:t>運輸業者</w:t>
      </w:r>
      <w:r w:rsidRPr="00EB67D4">
        <w:rPr>
          <w:rFonts w:hint="eastAsia"/>
        </w:rPr>
        <w:t>のみ（バス・タクシー等）が使う</w:t>
      </w:r>
      <w:r w:rsidR="0054389B">
        <w:rPr>
          <w:rFonts w:hint="eastAsia"/>
        </w:rPr>
        <w:t>自動車修理</w:t>
      </w:r>
      <w:r w:rsidRPr="00EB67D4">
        <w:rPr>
          <w:rFonts w:hint="eastAsia"/>
        </w:rPr>
        <w:t>工場も義務対象となっている。</w:t>
      </w:r>
    </w:p>
    <w:p w:rsidR="00B44F51" w:rsidRPr="00EB67D4" w:rsidRDefault="00B44F51" w:rsidP="00B44F51">
      <w:pPr>
        <w:widowControl/>
        <w:jc w:val="left"/>
      </w:pPr>
    </w:p>
    <w:p w:rsidR="00B44F51" w:rsidRPr="00A8465C" w:rsidRDefault="00B44F51" w:rsidP="00B44F51">
      <w:pPr>
        <w:rPr>
          <w:rFonts w:asciiTheme="majorEastAsia" w:eastAsiaTheme="majorEastAsia" w:hAnsiTheme="majorEastAsia"/>
          <w:b/>
          <w:szCs w:val="21"/>
        </w:rPr>
      </w:pPr>
      <w:r>
        <w:rPr>
          <w:rFonts w:asciiTheme="majorEastAsia" w:eastAsiaTheme="majorEastAsia" w:hAnsiTheme="majorEastAsia" w:hint="eastAsia"/>
          <w:b/>
          <w:szCs w:val="21"/>
        </w:rPr>
        <w:t>b</w:t>
      </w:r>
      <w:r w:rsidRPr="00A8465C">
        <w:rPr>
          <w:rFonts w:asciiTheme="majorEastAsia" w:eastAsiaTheme="majorEastAsia" w:hAnsiTheme="majorEastAsia" w:hint="eastAsia"/>
          <w:b/>
          <w:szCs w:val="21"/>
        </w:rPr>
        <w:t>）条例改正検討方針　案</w:t>
      </w:r>
    </w:p>
    <w:p w:rsidR="00B44F51" w:rsidRDefault="00B44F51" w:rsidP="0054389B">
      <w:pPr>
        <w:ind w:firstLineChars="100" w:firstLine="210"/>
      </w:pPr>
      <w:r w:rsidRPr="006C3FBF">
        <w:rPr>
          <w:rFonts w:hint="eastAsia"/>
        </w:rPr>
        <w:t>一般客が立ち入るエリアのみを規模算定の対象とする。</w:t>
      </w:r>
    </w:p>
    <w:p w:rsidR="00B44F51" w:rsidRDefault="00B44F51" w:rsidP="0054389B">
      <w:pPr>
        <w:ind w:leftChars="100" w:left="210"/>
      </w:pPr>
      <w:r w:rsidRPr="006C3FBF">
        <w:rPr>
          <w:rFonts w:hint="eastAsia"/>
        </w:rPr>
        <w:t>（現行の義務対象規模「</w:t>
      </w:r>
      <w:r w:rsidRPr="006C3FBF">
        <w:rPr>
          <w:rFonts w:hint="eastAsia"/>
        </w:rPr>
        <w:t>200</w:t>
      </w:r>
      <w:r w:rsidRPr="006C3FBF">
        <w:rPr>
          <w:rFonts w:hint="eastAsia"/>
        </w:rPr>
        <w:t>㎡以上」を「</w:t>
      </w:r>
      <w:r w:rsidRPr="006C3FBF">
        <w:rPr>
          <w:rFonts w:hint="eastAsia"/>
        </w:rPr>
        <w:t>200</w:t>
      </w:r>
      <w:r w:rsidRPr="006C3FBF">
        <w:rPr>
          <w:rFonts w:hint="eastAsia"/>
        </w:rPr>
        <w:t>㎡以上（不特定かつ多数の者が利用する部分に限る）」と、条例の対象規模判断の際に面積算定に含める部分を限定する。）</w:t>
      </w:r>
    </w:p>
    <w:p w:rsidR="002B2D7A" w:rsidRDefault="002B2D7A">
      <w:pPr>
        <w:widowControl/>
        <w:jc w:val="left"/>
      </w:pPr>
    </w:p>
    <w:p w:rsidR="00B44F51" w:rsidRPr="00B44F51" w:rsidRDefault="00B44F51" w:rsidP="00B44F51">
      <w:pPr>
        <w:rPr>
          <w:rFonts w:asciiTheme="majorEastAsia" w:eastAsiaTheme="majorEastAsia" w:hAnsiTheme="majorEastAsia"/>
          <w:b/>
          <w:szCs w:val="21"/>
        </w:rPr>
      </w:pPr>
      <w:r>
        <w:rPr>
          <w:rFonts w:asciiTheme="majorEastAsia" w:eastAsiaTheme="majorEastAsia" w:hAnsiTheme="majorEastAsia" w:hint="eastAsia"/>
          <w:b/>
          <w:szCs w:val="21"/>
        </w:rPr>
        <w:t>c）</w:t>
      </w:r>
      <w:r w:rsidRPr="00A8465C">
        <w:rPr>
          <w:rFonts w:asciiTheme="majorEastAsia" w:eastAsiaTheme="majorEastAsia" w:hAnsiTheme="majorEastAsia" w:hint="eastAsia"/>
          <w:b/>
          <w:szCs w:val="21"/>
        </w:rPr>
        <w:t>方針案についての考え方等</w:t>
      </w:r>
    </w:p>
    <w:p w:rsidR="00B44F51" w:rsidRDefault="00B44F51" w:rsidP="00B44F51">
      <w:pPr>
        <w:ind w:leftChars="100" w:left="210"/>
        <w:rPr>
          <w:rFonts w:asciiTheme="minorEastAsia" w:hAnsiTheme="minorEastAsia"/>
        </w:rPr>
      </w:pPr>
      <w:r w:rsidRPr="00B44F51">
        <w:rPr>
          <w:rFonts w:asciiTheme="minorEastAsia" w:hAnsiTheme="minorEastAsia" w:hint="eastAsia"/>
        </w:rPr>
        <w:t>平成15年の改正時の趣旨「都市生活において日常的に利用される施設であり、利用者の安全を図ることを目的とする」と、現在の対象施設の実態を照らし合わせると、主に府民が利用する施設以外のものが対象になるなど、多少の乖離がみられる。</w:t>
      </w:r>
    </w:p>
    <w:p w:rsidR="00B44F51" w:rsidRPr="00B44F51" w:rsidRDefault="00B44F51" w:rsidP="00B44F51">
      <w:pPr>
        <w:ind w:leftChars="100" w:left="210"/>
        <w:rPr>
          <w:rFonts w:asciiTheme="minorEastAsia" w:hAnsiTheme="minorEastAsia"/>
        </w:rPr>
      </w:pPr>
      <w:r w:rsidRPr="00B44F51">
        <w:rPr>
          <w:rFonts w:asciiTheme="minorEastAsia" w:hAnsiTheme="minorEastAsia" w:hint="eastAsia"/>
        </w:rPr>
        <w:t>よって、平成15年当時の改正趣旨に沿うよう、対象部分を「一般利用客が利用する部分」に限定することとする。</w:t>
      </w:r>
    </w:p>
    <w:p w:rsidR="00B44F51" w:rsidRDefault="00B44F51">
      <w:pPr>
        <w:widowControl/>
        <w:jc w:val="left"/>
        <w:rPr>
          <w:rFonts w:asciiTheme="majorEastAsia" w:eastAsiaTheme="majorEastAsia" w:hAnsiTheme="majorEastAsia"/>
        </w:rPr>
      </w:pPr>
    </w:p>
    <w:p w:rsidR="00B44F51" w:rsidRPr="006C3FBF" w:rsidRDefault="00B44F51" w:rsidP="00B44F51">
      <w:pPr>
        <w:widowControl/>
        <w:jc w:val="left"/>
      </w:pPr>
    </w:p>
    <w:tbl>
      <w:tblPr>
        <w:tblStyle w:val="a3"/>
        <w:tblW w:w="0" w:type="auto"/>
        <w:shd w:val="clear" w:color="auto" w:fill="000000" w:themeFill="text1"/>
        <w:tblLook w:val="04A0" w:firstRow="1" w:lastRow="0" w:firstColumn="1" w:lastColumn="0" w:noHBand="0" w:noVBand="1"/>
      </w:tblPr>
      <w:tblGrid>
        <w:gridCol w:w="9742"/>
      </w:tblGrid>
      <w:tr w:rsidR="006C3FBF" w:rsidRPr="006C3FBF" w:rsidTr="00311518">
        <w:tc>
          <w:tcPr>
            <w:tcW w:w="9742" w:type="dxa"/>
            <w:shd w:val="clear" w:color="auto" w:fill="000000" w:themeFill="text1"/>
          </w:tcPr>
          <w:p w:rsidR="0097018C" w:rsidRPr="006C3FBF" w:rsidRDefault="00B44F51" w:rsidP="00857FF4">
            <w:pPr>
              <w:rPr>
                <w:rFonts w:asciiTheme="majorEastAsia" w:eastAsiaTheme="majorEastAsia" w:hAnsiTheme="majorEastAsia"/>
              </w:rPr>
            </w:pPr>
            <w:r>
              <w:rPr>
                <w:rFonts w:asciiTheme="majorEastAsia" w:eastAsiaTheme="majorEastAsia" w:hAnsiTheme="majorEastAsia" w:hint="eastAsia"/>
              </w:rPr>
              <w:t>ウ</w:t>
            </w:r>
            <w:r w:rsidR="0075190B">
              <w:rPr>
                <w:rFonts w:asciiTheme="majorEastAsia" w:eastAsiaTheme="majorEastAsia" w:hAnsiTheme="majorEastAsia" w:hint="eastAsia"/>
              </w:rPr>
              <w:t>．</w:t>
            </w:r>
            <w:r w:rsidR="002B2D7A">
              <w:rPr>
                <w:rFonts w:asciiTheme="majorEastAsia" w:eastAsiaTheme="majorEastAsia" w:hAnsiTheme="majorEastAsia" w:hint="eastAsia"/>
              </w:rPr>
              <w:t>便所の乳幼児向け設備の適用規模見直し（公衆便所</w:t>
            </w:r>
            <w:r w:rsidR="002B2D7A" w:rsidRPr="002B2D7A">
              <w:rPr>
                <w:rFonts w:asciiTheme="majorEastAsia" w:eastAsiaTheme="majorEastAsia" w:hAnsiTheme="majorEastAsia" w:hint="eastAsia"/>
              </w:rPr>
              <w:t>）</w:t>
            </w:r>
          </w:p>
        </w:tc>
      </w:tr>
    </w:tbl>
    <w:p w:rsidR="00B44F51" w:rsidRPr="00EB67D4" w:rsidRDefault="00B44F51" w:rsidP="00B44F51">
      <w:pPr>
        <w:rPr>
          <w:rFonts w:asciiTheme="majorEastAsia" w:eastAsiaTheme="majorEastAsia" w:hAnsiTheme="majorEastAsia"/>
        </w:rPr>
      </w:pPr>
      <w:r w:rsidRPr="00EB67D4">
        <w:rPr>
          <w:rFonts w:asciiTheme="majorEastAsia" w:eastAsiaTheme="majorEastAsia" w:hAnsiTheme="majorEastAsia" w:hint="eastAsia"/>
          <w:b/>
          <w:szCs w:val="21"/>
        </w:rPr>
        <w:t xml:space="preserve">a）条例の運用により把握している課題　</w:t>
      </w:r>
      <w:r w:rsidRPr="00EB67D4">
        <w:rPr>
          <w:rFonts w:asciiTheme="majorEastAsia" w:eastAsiaTheme="majorEastAsia" w:hAnsiTheme="majorEastAsia" w:hint="eastAsia"/>
        </w:rPr>
        <w:t>※</w:t>
      </w:r>
      <w:r w:rsidRPr="00EB67D4">
        <w:rPr>
          <w:rFonts w:asciiTheme="majorEastAsia" w:eastAsiaTheme="majorEastAsia" w:hAnsiTheme="majorEastAsia" w:hint="eastAsia"/>
          <w:u w:val="single"/>
        </w:rPr>
        <w:t>新たな課題</w:t>
      </w:r>
    </w:p>
    <w:p w:rsidR="00B44F51" w:rsidRPr="00EB67D4" w:rsidRDefault="00B44F51" w:rsidP="0054389B">
      <w:pPr>
        <w:ind w:leftChars="100" w:left="420" w:hangingChars="100" w:hanging="210"/>
      </w:pPr>
      <w:r w:rsidRPr="00EB67D4">
        <w:rPr>
          <w:rFonts w:hint="eastAsia"/>
        </w:rPr>
        <w:t>○公衆便所の乳幼児設備について、現行条例では</w:t>
      </w:r>
      <w:r w:rsidRPr="00EB67D4">
        <w:rPr>
          <w:rFonts w:hint="eastAsia"/>
        </w:rPr>
        <w:t>1,000</w:t>
      </w:r>
      <w:r w:rsidRPr="00EB67D4">
        <w:rPr>
          <w:rFonts w:hint="eastAsia"/>
        </w:rPr>
        <w:t>㎡以上が適用対象だが、その規模を引き下げるべきではないか。</w:t>
      </w:r>
    </w:p>
    <w:p w:rsidR="006063FB" w:rsidRPr="00EB67D4" w:rsidRDefault="00B44F51" w:rsidP="0054389B">
      <w:pPr>
        <w:ind w:leftChars="100" w:left="420" w:hangingChars="100" w:hanging="210"/>
      </w:pPr>
      <w:r w:rsidRPr="00EB67D4">
        <w:rPr>
          <w:rFonts w:hint="eastAsia"/>
        </w:rPr>
        <w:t xml:space="preserve">　※「乳幼児設備」とは、条例第</w:t>
      </w:r>
      <w:r w:rsidRPr="00EB67D4">
        <w:rPr>
          <w:rFonts w:hint="eastAsia"/>
        </w:rPr>
        <w:t>18</w:t>
      </w:r>
      <w:r w:rsidRPr="00EB67D4">
        <w:rPr>
          <w:rFonts w:hint="eastAsia"/>
        </w:rPr>
        <w:t>条第</w:t>
      </w:r>
      <w:r w:rsidRPr="00EB67D4">
        <w:rPr>
          <w:rFonts w:hint="eastAsia"/>
        </w:rPr>
        <w:t>2</w:t>
      </w:r>
      <w:r w:rsidRPr="00EB67D4">
        <w:rPr>
          <w:rFonts w:hint="eastAsia"/>
        </w:rPr>
        <w:t>項に規定する</w:t>
      </w:r>
      <w:r w:rsidRPr="0054389B">
        <w:rPr>
          <w:rFonts w:hint="eastAsia"/>
        </w:rPr>
        <w:t>、「乳幼児を座らせることができる設備」（いわゆる「ベビーチェア」）及び「乳幼児のおむつ交換をすることができる設備」（いわゆる「ベビーベッド」）。</w:t>
      </w:r>
    </w:p>
    <w:p w:rsidR="006063FB" w:rsidRPr="00EB67D4" w:rsidRDefault="006063FB">
      <w:pPr>
        <w:widowControl/>
        <w:jc w:val="left"/>
      </w:pPr>
    </w:p>
    <w:p w:rsidR="00B44F51" w:rsidRPr="00EB67D4" w:rsidRDefault="00B44F51" w:rsidP="00B44F51">
      <w:pPr>
        <w:rPr>
          <w:rFonts w:asciiTheme="majorEastAsia" w:eastAsiaTheme="majorEastAsia" w:hAnsiTheme="majorEastAsia"/>
          <w:b/>
          <w:szCs w:val="21"/>
        </w:rPr>
      </w:pPr>
      <w:r w:rsidRPr="00EB67D4">
        <w:rPr>
          <w:rFonts w:asciiTheme="majorEastAsia" w:eastAsiaTheme="majorEastAsia" w:hAnsiTheme="majorEastAsia" w:hint="eastAsia"/>
          <w:b/>
          <w:szCs w:val="21"/>
        </w:rPr>
        <w:t>b）条例改正検討方針　案</w:t>
      </w:r>
    </w:p>
    <w:p w:rsidR="00B44F51" w:rsidRPr="00EB67D4" w:rsidRDefault="00B44F51" w:rsidP="00B44F51">
      <w:pPr>
        <w:ind w:leftChars="150" w:left="315"/>
      </w:pPr>
      <w:r w:rsidRPr="00EB67D4">
        <w:rPr>
          <w:rFonts w:hint="eastAsia"/>
        </w:rPr>
        <w:t>乳幼児向け設備の現行適用規模である</w:t>
      </w:r>
      <w:r w:rsidRPr="00EB67D4">
        <w:rPr>
          <w:rFonts w:hint="eastAsia"/>
        </w:rPr>
        <w:t>1,000</w:t>
      </w:r>
      <w:r w:rsidRPr="00EB67D4">
        <w:rPr>
          <w:rFonts w:hint="eastAsia"/>
        </w:rPr>
        <w:t>㎡以上の公衆便所は対象が希少であるため、さらなる乳幼児連れの方への配慮（子育て支援）の観点から、公衆便所における適用規模を</w:t>
      </w:r>
      <w:r w:rsidRPr="00EB67D4">
        <w:rPr>
          <w:rFonts w:hint="eastAsia"/>
        </w:rPr>
        <w:t>1,000</w:t>
      </w:r>
      <w:r w:rsidRPr="00EB67D4">
        <w:rPr>
          <w:rFonts w:hint="eastAsia"/>
        </w:rPr>
        <w:t>㎡以上から</w:t>
      </w:r>
      <w:r w:rsidRPr="00EB67D4">
        <w:rPr>
          <w:rFonts w:hint="eastAsia"/>
        </w:rPr>
        <w:t>50</w:t>
      </w:r>
      <w:r w:rsidRPr="00EB67D4">
        <w:rPr>
          <w:rFonts w:hint="eastAsia"/>
        </w:rPr>
        <w:t>㎡以上へ引き下げる（</w:t>
      </w:r>
      <w:r w:rsidRPr="00EB67D4">
        <w:rPr>
          <w:rFonts w:hint="eastAsia"/>
        </w:rPr>
        <w:t>50</w:t>
      </w:r>
      <w:r w:rsidRPr="00EB67D4">
        <w:rPr>
          <w:rFonts w:hint="eastAsia"/>
        </w:rPr>
        <w:t>㎡は公衆便所の政令対象規模である）。</w:t>
      </w:r>
    </w:p>
    <w:p w:rsidR="00B44F51" w:rsidRPr="00B44F51" w:rsidRDefault="00B44F51" w:rsidP="00B44F51">
      <w:pPr>
        <w:ind w:leftChars="150" w:left="315"/>
        <w:rPr>
          <w:color w:val="FF0000"/>
        </w:rPr>
      </w:pPr>
      <w:r w:rsidRPr="00EB67D4">
        <w:rPr>
          <w:rFonts w:hint="eastAsia"/>
        </w:rPr>
        <w:t>なお、条例第</w:t>
      </w:r>
      <w:r w:rsidRPr="00EB67D4">
        <w:rPr>
          <w:rFonts w:hint="eastAsia"/>
        </w:rPr>
        <w:t>18</w:t>
      </w:r>
      <w:r w:rsidRPr="00EB67D4">
        <w:rPr>
          <w:rFonts w:hint="eastAsia"/>
        </w:rPr>
        <w:t>条第</w:t>
      </w:r>
      <w:r w:rsidRPr="00EB67D4">
        <w:rPr>
          <w:rFonts w:hint="eastAsia"/>
        </w:rPr>
        <w:t>2</w:t>
      </w:r>
      <w:r w:rsidRPr="00EB67D4">
        <w:rPr>
          <w:rFonts w:hint="eastAsia"/>
        </w:rPr>
        <w:t>項で指定する、公衆便所以外の用途については、適用規模を現行の</w:t>
      </w:r>
      <w:r w:rsidRPr="00EB67D4">
        <w:rPr>
          <w:rFonts w:hint="eastAsia"/>
        </w:rPr>
        <w:t>1,000</w:t>
      </w:r>
      <w:r w:rsidRPr="00EB67D4">
        <w:rPr>
          <w:rFonts w:hint="eastAsia"/>
        </w:rPr>
        <w:t>㎡</w:t>
      </w:r>
      <w:r w:rsidRPr="006C3FBF">
        <w:rPr>
          <w:rFonts w:hint="eastAsia"/>
        </w:rPr>
        <w:t>以上のままとする。</w:t>
      </w:r>
    </w:p>
    <w:p w:rsidR="004A53E2" w:rsidRDefault="004A53E2">
      <w:pPr>
        <w:widowControl/>
        <w:jc w:val="left"/>
      </w:pPr>
    </w:p>
    <w:p w:rsidR="00F62B1E" w:rsidRDefault="00F62B1E">
      <w:pPr>
        <w:widowControl/>
        <w:jc w:val="left"/>
      </w:pPr>
      <w:r>
        <w:br w:type="page"/>
      </w:r>
    </w:p>
    <w:tbl>
      <w:tblPr>
        <w:tblStyle w:val="a3"/>
        <w:tblW w:w="0" w:type="auto"/>
        <w:shd w:val="clear" w:color="auto" w:fill="000000" w:themeFill="text1"/>
        <w:tblLook w:val="04A0" w:firstRow="1" w:lastRow="0" w:firstColumn="1" w:lastColumn="0" w:noHBand="0" w:noVBand="1"/>
      </w:tblPr>
      <w:tblGrid>
        <w:gridCol w:w="9742"/>
      </w:tblGrid>
      <w:tr w:rsidR="007C3F10" w:rsidRPr="006C3FBF" w:rsidTr="00C46C81">
        <w:tc>
          <w:tcPr>
            <w:tcW w:w="9742" w:type="dxa"/>
            <w:shd w:val="clear" w:color="auto" w:fill="000000" w:themeFill="text1"/>
          </w:tcPr>
          <w:p w:rsidR="007C3F10" w:rsidRPr="006C3FBF" w:rsidRDefault="00B44F51" w:rsidP="007C3F10">
            <w:pPr>
              <w:rPr>
                <w:rFonts w:asciiTheme="majorEastAsia" w:eastAsiaTheme="majorEastAsia" w:hAnsiTheme="majorEastAsia"/>
              </w:rPr>
            </w:pPr>
            <w:r>
              <w:rPr>
                <w:rFonts w:asciiTheme="majorEastAsia" w:eastAsiaTheme="majorEastAsia" w:hAnsiTheme="majorEastAsia" w:hint="eastAsia"/>
              </w:rPr>
              <w:lastRenderedPageBreak/>
              <w:t>エ</w:t>
            </w:r>
            <w:r w:rsidR="007C3F10">
              <w:rPr>
                <w:rFonts w:asciiTheme="majorEastAsia" w:eastAsiaTheme="majorEastAsia" w:hAnsiTheme="majorEastAsia" w:hint="eastAsia"/>
              </w:rPr>
              <w:t>．共同住宅等における介護ベッド等の基準適用条件の見直し</w:t>
            </w:r>
          </w:p>
        </w:tc>
      </w:tr>
    </w:tbl>
    <w:p w:rsidR="00B44F51" w:rsidRPr="00EB67D4" w:rsidRDefault="00B44F51" w:rsidP="00B44F51">
      <w:pPr>
        <w:rPr>
          <w:rFonts w:asciiTheme="majorEastAsia" w:eastAsiaTheme="majorEastAsia" w:hAnsiTheme="majorEastAsia"/>
        </w:rPr>
      </w:pPr>
      <w:r>
        <w:rPr>
          <w:rFonts w:asciiTheme="majorEastAsia" w:eastAsiaTheme="majorEastAsia" w:hAnsiTheme="majorEastAsia" w:hint="eastAsia"/>
          <w:b/>
          <w:szCs w:val="21"/>
        </w:rPr>
        <w:t>a）</w:t>
      </w:r>
      <w:r w:rsidRPr="00B44F51">
        <w:rPr>
          <w:rFonts w:asciiTheme="majorEastAsia" w:eastAsiaTheme="majorEastAsia" w:hAnsiTheme="majorEastAsia" w:hint="eastAsia"/>
          <w:b/>
          <w:szCs w:val="21"/>
        </w:rPr>
        <w:t>条例の運用により把握している課題</w:t>
      </w:r>
      <w:r w:rsidRPr="00EB67D4">
        <w:rPr>
          <w:rFonts w:asciiTheme="majorEastAsia" w:eastAsiaTheme="majorEastAsia" w:hAnsiTheme="majorEastAsia" w:hint="eastAsia"/>
          <w:b/>
          <w:szCs w:val="21"/>
        </w:rPr>
        <w:t xml:space="preserve">　</w:t>
      </w:r>
      <w:r w:rsidRPr="00EB67D4">
        <w:rPr>
          <w:rFonts w:asciiTheme="majorEastAsia" w:eastAsiaTheme="majorEastAsia" w:hAnsiTheme="majorEastAsia" w:hint="eastAsia"/>
        </w:rPr>
        <w:t>※</w:t>
      </w:r>
      <w:r w:rsidRPr="00EB67D4">
        <w:rPr>
          <w:rFonts w:asciiTheme="majorEastAsia" w:eastAsiaTheme="majorEastAsia" w:hAnsiTheme="majorEastAsia" w:hint="eastAsia"/>
          <w:u w:val="single"/>
        </w:rPr>
        <w:t>新たな課題</w:t>
      </w:r>
    </w:p>
    <w:p w:rsidR="00B44F51" w:rsidRDefault="00B44F51" w:rsidP="0054389B">
      <w:pPr>
        <w:ind w:leftChars="100" w:left="420" w:hangingChars="100" w:hanging="210"/>
      </w:pPr>
      <w:r>
        <w:rPr>
          <w:rFonts w:hint="eastAsia"/>
        </w:rPr>
        <w:t>○</w:t>
      </w:r>
      <w:r w:rsidRPr="007C3F10">
        <w:rPr>
          <w:rFonts w:hint="eastAsia"/>
        </w:rPr>
        <w:t>共同住宅等、</w:t>
      </w:r>
      <w:r w:rsidR="0054389B">
        <w:rPr>
          <w:rFonts w:hint="eastAsia"/>
        </w:rPr>
        <w:t>特定の多数が利用する用途の建築物</w:t>
      </w:r>
      <w:r w:rsidRPr="007C3F10">
        <w:rPr>
          <w:rFonts w:hint="eastAsia"/>
        </w:rPr>
        <w:t>において、便所における介護ベッドや、オストメイト対応設備の温水装置等の設置については、</w:t>
      </w:r>
      <w:r w:rsidR="0054389B">
        <w:rPr>
          <w:rFonts w:hint="eastAsia"/>
        </w:rPr>
        <w:t>10,000</w:t>
      </w:r>
      <w:r w:rsidR="0054389B">
        <w:rPr>
          <w:rFonts w:hint="eastAsia"/>
        </w:rPr>
        <w:t>㎡以上の建築物に限り、</w:t>
      </w:r>
      <w:r>
        <w:rPr>
          <w:rFonts w:hint="eastAsia"/>
        </w:rPr>
        <w:t>便所内への設備の設置</w:t>
      </w:r>
      <w:r w:rsidRPr="00BB230C">
        <w:rPr>
          <w:rFonts w:hint="eastAsia"/>
        </w:rPr>
        <w:t>を求めている。</w:t>
      </w:r>
    </w:p>
    <w:p w:rsidR="00B44F51" w:rsidRDefault="00B44F51" w:rsidP="0054389B">
      <w:pPr>
        <w:ind w:leftChars="100" w:left="420" w:hangingChars="100" w:hanging="210"/>
      </w:pPr>
      <w:r>
        <w:rPr>
          <w:rFonts w:hint="eastAsia"/>
        </w:rPr>
        <w:t>○しかし、</w:t>
      </w:r>
      <w:r w:rsidRPr="007C3F10">
        <w:rPr>
          <w:rFonts w:hint="eastAsia"/>
        </w:rPr>
        <w:t>共同住宅であれば各住戸</w:t>
      </w:r>
      <w:r>
        <w:rPr>
          <w:rFonts w:hint="eastAsia"/>
        </w:rPr>
        <w:t>内</w:t>
      </w:r>
      <w:r w:rsidRPr="007C3F10">
        <w:rPr>
          <w:rFonts w:hint="eastAsia"/>
        </w:rPr>
        <w:t>な</w:t>
      </w:r>
      <w:r>
        <w:rPr>
          <w:rFonts w:hint="eastAsia"/>
        </w:rPr>
        <w:t>ど、建築物内にその機能を補完できる場所が別にあるケースがある。</w:t>
      </w:r>
    </w:p>
    <w:p w:rsidR="00BB230C" w:rsidRDefault="00B44F51" w:rsidP="0054389B">
      <w:pPr>
        <w:ind w:leftChars="100" w:left="420" w:hangingChars="100" w:hanging="210"/>
      </w:pPr>
      <w:r>
        <w:rPr>
          <w:rFonts w:hint="eastAsia"/>
        </w:rPr>
        <w:t>○</w:t>
      </w:r>
      <w:r w:rsidRPr="004A53E2">
        <w:rPr>
          <w:rFonts w:hint="eastAsia"/>
        </w:rPr>
        <w:t>このような状況の中、</w:t>
      </w:r>
      <w:r>
        <w:rPr>
          <w:rFonts w:hint="eastAsia"/>
        </w:rPr>
        <w:t>代替措置（例</w:t>
      </w:r>
      <w:r w:rsidR="0054389B">
        <w:rPr>
          <w:rFonts w:hint="eastAsia"/>
        </w:rPr>
        <w:t>：建築物内にその機能を補完できる場所が別にある）が講じられている</w:t>
      </w:r>
      <w:r>
        <w:rPr>
          <w:rFonts w:hint="eastAsia"/>
        </w:rPr>
        <w:t>と判断できる場合においては、</w:t>
      </w:r>
      <w:r w:rsidRPr="004A53E2">
        <w:rPr>
          <w:rFonts w:hint="eastAsia"/>
        </w:rPr>
        <w:t>福祉のまちづくり条例第</w:t>
      </w:r>
      <w:r w:rsidRPr="004A53E2">
        <w:rPr>
          <w:rFonts w:hint="eastAsia"/>
        </w:rPr>
        <w:t>29</w:t>
      </w:r>
      <w:r w:rsidRPr="004A53E2">
        <w:rPr>
          <w:rFonts w:hint="eastAsia"/>
        </w:rPr>
        <w:t>条の緩和の認定の対象とし、運用を図ってきたところ。</w:t>
      </w:r>
    </w:p>
    <w:p w:rsidR="00B44F51" w:rsidRDefault="00B44F51" w:rsidP="00B44F51">
      <w:pPr>
        <w:widowControl/>
        <w:jc w:val="left"/>
      </w:pPr>
    </w:p>
    <w:p w:rsidR="00B44F51" w:rsidRPr="00A8465C" w:rsidRDefault="00B44F51" w:rsidP="00B44F51">
      <w:pPr>
        <w:rPr>
          <w:rFonts w:asciiTheme="majorEastAsia" w:eastAsiaTheme="majorEastAsia" w:hAnsiTheme="majorEastAsia"/>
          <w:b/>
          <w:szCs w:val="21"/>
        </w:rPr>
      </w:pPr>
      <w:r>
        <w:rPr>
          <w:rFonts w:asciiTheme="majorEastAsia" w:eastAsiaTheme="majorEastAsia" w:hAnsiTheme="majorEastAsia" w:hint="eastAsia"/>
          <w:b/>
          <w:szCs w:val="21"/>
        </w:rPr>
        <w:t>b</w:t>
      </w:r>
      <w:r w:rsidRPr="00A8465C">
        <w:rPr>
          <w:rFonts w:asciiTheme="majorEastAsia" w:eastAsiaTheme="majorEastAsia" w:hAnsiTheme="majorEastAsia" w:hint="eastAsia"/>
          <w:b/>
          <w:szCs w:val="21"/>
        </w:rPr>
        <w:t>）条例改正検討方針　案</w:t>
      </w:r>
    </w:p>
    <w:p w:rsidR="00F62B1E" w:rsidRDefault="00F62B1E" w:rsidP="00F62B1E">
      <w:pPr>
        <w:ind w:leftChars="150" w:left="315"/>
      </w:pPr>
      <w:r w:rsidRPr="00F62B1E">
        <w:rPr>
          <w:rFonts w:hint="eastAsia"/>
        </w:rPr>
        <w:t>共同住宅等、特定の多数が利用する用途</w:t>
      </w:r>
      <w:r>
        <w:rPr>
          <w:rFonts w:hint="eastAsia"/>
        </w:rPr>
        <w:t>の建築物</w:t>
      </w:r>
      <w:r w:rsidRPr="00F62B1E">
        <w:rPr>
          <w:rFonts w:hint="eastAsia"/>
        </w:rPr>
        <w:t>において、代替措置（便所以外の場所への基準と同程度の設備の設置）を認める。</w:t>
      </w:r>
    </w:p>
    <w:p w:rsidR="00B44F51" w:rsidRDefault="00B44F51" w:rsidP="00F62B1E">
      <w:pPr>
        <w:ind w:leftChars="150" w:left="315"/>
      </w:pPr>
      <w:r>
        <w:rPr>
          <w:rFonts w:hint="eastAsia"/>
        </w:rPr>
        <w:t>（代替措置の例：共同住宅の各住戸において、大人のおむつ換えが可能であり、オストメ</w:t>
      </w:r>
      <w:r w:rsidR="0054389B">
        <w:rPr>
          <w:rFonts w:hint="eastAsia"/>
        </w:rPr>
        <w:t>イト対応設備の温水機能も</w:t>
      </w:r>
      <w:r w:rsidR="00F62B1E">
        <w:rPr>
          <w:rFonts w:hint="eastAsia"/>
        </w:rPr>
        <w:t>、各住戸の浴室が</w:t>
      </w:r>
      <w:r w:rsidR="0054389B">
        <w:rPr>
          <w:rFonts w:hint="eastAsia"/>
        </w:rPr>
        <w:t>代替する機能を備えていると判断できる。</w:t>
      </w:r>
      <w:r w:rsidR="00F62B1E">
        <w:rPr>
          <w:rFonts w:hint="eastAsia"/>
        </w:rPr>
        <w:t>）</w:t>
      </w:r>
    </w:p>
    <w:p w:rsidR="00B44F51" w:rsidRDefault="00B44F51" w:rsidP="00B44F51">
      <w:pPr>
        <w:widowControl/>
        <w:jc w:val="left"/>
      </w:pPr>
    </w:p>
    <w:p w:rsidR="00B44F51" w:rsidRPr="00B44F51" w:rsidRDefault="00B44F51" w:rsidP="00B44F51">
      <w:pPr>
        <w:rPr>
          <w:rFonts w:asciiTheme="majorEastAsia" w:eastAsiaTheme="majorEastAsia" w:hAnsiTheme="majorEastAsia"/>
          <w:b/>
          <w:szCs w:val="21"/>
        </w:rPr>
      </w:pPr>
      <w:r>
        <w:rPr>
          <w:rFonts w:asciiTheme="majorEastAsia" w:eastAsiaTheme="majorEastAsia" w:hAnsiTheme="majorEastAsia" w:hint="eastAsia"/>
          <w:b/>
          <w:szCs w:val="21"/>
        </w:rPr>
        <w:t>c）</w:t>
      </w:r>
      <w:r w:rsidRPr="00A8465C">
        <w:rPr>
          <w:rFonts w:asciiTheme="majorEastAsia" w:eastAsiaTheme="majorEastAsia" w:hAnsiTheme="majorEastAsia" w:hint="eastAsia"/>
          <w:b/>
          <w:szCs w:val="21"/>
        </w:rPr>
        <w:t>方針案についての考え方等</w:t>
      </w:r>
    </w:p>
    <w:p w:rsidR="00B44F51" w:rsidRPr="0054389B" w:rsidRDefault="00B44F51" w:rsidP="0054389B">
      <w:pPr>
        <w:ind w:leftChars="150" w:left="315"/>
      </w:pPr>
      <w:r w:rsidRPr="0054389B">
        <w:rPr>
          <w:rFonts w:hint="eastAsia"/>
        </w:rPr>
        <w:t>共同住宅</w:t>
      </w:r>
      <w:r w:rsidR="00F62B1E">
        <w:rPr>
          <w:rFonts w:hint="eastAsia"/>
        </w:rPr>
        <w:t>等</w:t>
      </w:r>
      <w:r w:rsidRPr="0054389B">
        <w:rPr>
          <w:rFonts w:hint="eastAsia"/>
        </w:rPr>
        <w:t>、特定</w:t>
      </w:r>
      <w:r w:rsidR="00F62B1E">
        <w:rPr>
          <w:rFonts w:hint="eastAsia"/>
        </w:rPr>
        <w:t>の</w:t>
      </w:r>
      <w:r w:rsidRPr="0054389B">
        <w:rPr>
          <w:rFonts w:hint="eastAsia"/>
        </w:rPr>
        <w:t>多数の者が利用する施設においては、便所内</w:t>
      </w:r>
      <w:r w:rsidR="00F62B1E">
        <w:rPr>
          <w:rFonts w:hint="eastAsia"/>
        </w:rPr>
        <w:t>で</w:t>
      </w:r>
      <w:r w:rsidRPr="0054389B">
        <w:rPr>
          <w:rFonts w:hint="eastAsia"/>
        </w:rPr>
        <w:t>はなく別の場所に</w:t>
      </w:r>
      <w:r w:rsidR="00F62B1E">
        <w:rPr>
          <w:rFonts w:hint="eastAsia"/>
        </w:rPr>
        <w:t>同様の機能を有する設備を設置している場合は、基準の適用を便所内に限定せず、別の場所での代替措置を認めるものとする。</w:t>
      </w:r>
    </w:p>
    <w:p w:rsidR="00B44F51" w:rsidRPr="0054389B" w:rsidRDefault="00B44F51" w:rsidP="0054389B">
      <w:pPr>
        <w:ind w:leftChars="150" w:left="315"/>
      </w:pPr>
      <w:r w:rsidRPr="0054389B">
        <w:rPr>
          <w:rFonts w:hint="eastAsia"/>
        </w:rPr>
        <w:t>ただし、その設備は個室</w:t>
      </w:r>
      <w:r w:rsidR="00F62B1E">
        <w:rPr>
          <w:rFonts w:hint="eastAsia"/>
        </w:rPr>
        <w:t>や間仕切り等により区画されている等、他の人から見られることのないよう配慮</w:t>
      </w:r>
      <w:r w:rsidRPr="0054389B">
        <w:rPr>
          <w:rFonts w:hint="eastAsia"/>
        </w:rPr>
        <w:t>された場所とする。</w:t>
      </w:r>
    </w:p>
    <w:p w:rsidR="00B44F51" w:rsidRPr="0054389B" w:rsidRDefault="00F62B1E" w:rsidP="0054389B">
      <w:pPr>
        <w:ind w:leftChars="150" w:left="315"/>
      </w:pPr>
      <w:r>
        <w:rPr>
          <w:rFonts w:hint="eastAsia"/>
        </w:rPr>
        <w:t>なお、特定の</w:t>
      </w:r>
      <w:r w:rsidR="00B44F51" w:rsidRPr="0054389B">
        <w:rPr>
          <w:rFonts w:hint="eastAsia"/>
        </w:rPr>
        <w:t>多数の者が利用する施設では、利用者は反復して同じ施設を利用するため、当該設備の場所を認知することは比較的容易であると考え、一方、不特定多数の者が利用する施設では、便所内への設備設置を義務付けることで、初めて利用する施設においても容易に利用できるよう考慮している。</w:t>
      </w:r>
    </w:p>
    <w:p w:rsidR="00B44F51" w:rsidRPr="0054389B" w:rsidRDefault="00B44F51" w:rsidP="0054389B">
      <w:pPr>
        <w:ind w:leftChars="150" w:left="315"/>
      </w:pPr>
      <w:r w:rsidRPr="0054389B">
        <w:rPr>
          <w:rFonts w:hint="eastAsia"/>
        </w:rPr>
        <w:t>（参考）</w:t>
      </w:r>
    </w:p>
    <w:p w:rsidR="00B44F51" w:rsidRPr="0054389B" w:rsidRDefault="00B44F51" w:rsidP="0054389B">
      <w:pPr>
        <w:ind w:leftChars="150" w:left="315"/>
      </w:pPr>
      <w:r w:rsidRPr="0054389B">
        <w:rPr>
          <w:rFonts w:hint="eastAsia"/>
        </w:rPr>
        <w:t>条例で追加した用途は下記のとおり</w:t>
      </w:r>
    </w:p>
    <w:p w:rsidR="00B44F51" w:rsidRDefault="00B44F51" w:rsidP="0054389B">
      <w:pPr>
        <w:ind w:leftChars="150" w:left="315"/>
      </w:pPr>
      <w:r w:rsidRPr="0054389B">
        <w:rPr>
          <w:rFonts w:hint="eastAsia"/>
        </w:rPr>
        <w:t>学校（特別支援学校除く）、共同住宅または寄宿舎、保育所等、体育館や水泳場などの運動施設（一般公共のように供するものを除く）、自動車教習所または学習塾等、自動車修理工場</w:t>
      </w:r>
    </w:p>
    <w:sectPr w:rsidR="00B44F51" w:rsidSect="006A2878">
      <w:footerReference w:type="default" r:id="rId10"/>
      <w:headerReference w:type="first" r:id="rId11"/>
      <w:pgSz w:w="11906" w:h="16838" w:code="9"/>
      <w:pgMar w:top="1418" w:right="1077" w:bottom="1077" w:left="1077" w:header="851" w:footer="454" w:gutter="0"/>
      <w:cols w:space="425"/>
      <w:docGrid w:type="lines" w:linePitch="3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43BE" w:rsidRDefault="006943BE" w:rsidP="00BD5E0F">
      <w:r>
        <w:separator/>
      </w:r>
    </w:p>
  </w:endnote>
  <w:endnote w:type="continuationSeparator" w:id="0">
    <w:p w:rsidR="006943BE" w:rsidRDefault="006943BE" w:rsidP="00BD5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1622074"/>
      <w:docPartObj>
        <w:docPartGallery w:val="Page Numbers (Bottom of Page)"/>
        <w:docPartUnique/>
      </w:docPartObj>
    </w:sdtPr>
    <w:sdtEndPr/>
    <w:sdtContent>
      <w:p w:rsidR="00C46C81" w:rsidRDefault="00C46C81">
        <w:pPr>
          <w:pStyle w:val="a9"/>
          <w:jc w:val="center"/>
        </w:pPr>
        <w:r>
          <w:fldChar w:fldCharType="begin"/>
        </w:r>
        <w:r>
          <w:instrText>PAGE   \* MERGEFORMAT</w:instrText>
        </w:r>
        <w:r>
          <w:fldChar w:fldCharType="separate"/>
        </w:r>
        <w:r w:rsidR="006A2878" w:rsidRPr="006A2878">
          <w:rPr>
            <w:noProof/>
            <w:lang w:val="ja-JP"/>
          </w:rPr>
          <w:t>2</w:t>
        </w:r>
        <w:r>
          <w:fldChar w:fldCharType="end"/>
        </w:r>
      </w:p>
    </w:sdtContent>
  </w:sdt>
  <w:p w:rsidR="00C46C81" w:rsidRDefault="00C46C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43BE" w:rsidRDefault="006943BE" w:rsidP="00BD5E0F">
      <w:r>
        <w:separator/>
      </w:r>
    </w:p>
  </w:footnote>
  <w:footnote w:type="continuationSeparator" w:id="0">
    <w:p w:rsidR="006943BE" w:rsidRDefault="006943BE" w:rsidP="00BD5E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3105" w:rsidRPr="008C3105" w:rsidRDefault="008C3105" w:rsidP="008C3105">
    <w:pPr>
      <w:pStyle w:val="a7"/>
      <w:jc w:val="right"/>
      <w:rPr>
        <w:rFonts w:asciiTheme="majorEastAsia" w:eastAsiaTheme="majorEastAsia" w:hAnsiTheme="majorEastAsia"/>
        <w:sz w:val="24"/>
        <w:szCs w:val="24"/>
        <w:bdr w:val="single" w:sz="4" w:space="0" w:color="auto"/>
      </w:rPr>
    </w:pPr>
    <w:r w:rsidRPr="008C3105">
      <w:rPr>
        <w:rFonts w:asciiTheme="majorEastAsia" w:eastAsiaTheme="majorEastAsia" w:hAnsiTheme="majorEastAsia" w:hint="eastAsia"/>
        <w:sz w:val="24"/>
        <w:szCs w:val="24"/>
        <w:bdr w:val="single" w:sz="4" w:space="0" w:color="auto"/>
      </w:rPr>
      <w:t>資料</w:t>
    </w:r>
    <w:r w:rsidR="00677488">
      <w:rPr>
        <w:rFonts w:asciiTheme="majorEastAsia" w:eastAsiaTheme="majorEastAsia" w:hAnsiTheme="majorEastAsia" w:hint="eastAsia"/>
        <w:sz w:val="24"/>
        <w:szCs w:val="24"/>
        <w:bdr w:val="single" w:sz="4" w:space="0" w:color="auto"/>
      </w:rPr>
      <w:t>３</w:t>
    </w:r>
    <w:r w:rsidRPr="008C3105">
      <w:rPr>
        <w:rFonts w:asciiTheme="majorEastAsia" w:eastAsiaTheme="majorEastAsia" w:hAnsiTheme="majorEastAsia" w:hint="eastAsia"/>
        <w:sz w:val="24"/>
        <w:szCs w:val="24"/>
        <w:bdr w:val="single" w:sz="4" w:space="0" w:color="auto"/>
      </w:rPr>
      <w:t>－</w:t>
    </w:r>
    <w:r w:rsidR="00677488">
      <w:rPr>
        <w:rFonts w:asciiTheme="majorEastAsia" w:eastAsiaTheme="majorEastAsia" w:hAnsiTheme="majorEastAsia" w:hint="eastAsia"/>
        <w:sz w:val="24"/>
        <w:szCs w:val="24"/>
        <w:bdr w:val="single" w:sz="4" w:space="0" w:color="auto"/>
      </w:rPr>
      <w:t>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4F2676"/>
    <w:multiLevelType w:val="hybridMultilevel"/>
    <w:tmpl w:val="106EB602"/>
    <w:lvl w:ilvl="0" w:tplc="62F26E1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rawingGridVerticalSpacing w:val="37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26B8"/>
    <w:rsid w:val="00000417"/>
    <w:rsid w:val="00072BB1"/>
    <w:rsid w:val="000A0CE5"/>
    <w:rsid w:val="000B1C7D"/>
    <w:rsid w:val="000C276F"/>
    <w:rsid w:val="000E21A8"/>
    <w:rsid w:val="00106C85"/>
    <w:rsid w:val="0014626E"/>
    <w:rsid w:val="00167CEB"/>
    <w:rsid w:val="001A40FE"/>
    <w:rsid w:val="001A4A27"/>
    <w:rsid w:val="001B3B5A"/>
    <w:rsid w:val="001C2F69"/>
    <w:rsid w:val="002005BD"/>
    <w:rsid w:val="00205B64"/>
    <w:rsid w:val="00220B90"/>
    <w:rsid w:val="00242E35"/>
    <w:rsid w:val="00262460"/>
    <w:rsid w:val="002643CB"/>
    <w:rsid w:val="002821B3"/>
    <w:rsid w:val="002B2D7A"/>
    <w:rsid w:val="002C0FDC"/>
    <w:rsid w:val="002C2191"/>
    <w:rsid w:val="002C2B2C"/>
    <w:rsid w:val="002C3866"/>
    <w:rsid w:val="002E5434"/>
    <w:rsid w:val="00302B2B"/>
    <w:rsid w:val="00311518"/>
    <w:rsid w:val="00322FF7"/>
    <w:rsid w:val="003274F8"/>
    <w:rsid w:val="003478EF"/>
    <w:rsid w:val="003922B9"/>
    <w:rsid w:val="003940AA"/>
    <w:rsid w:val="003B561B"/>
    <w:rsid w:val="003B5AEB"/>
    <w:rsid w:val="003C1DF8"/>
    <w:rsid w:val="003C2186"/>
    <w:rsid w:val="003C4238"/>
    <w:rsid w:val="003C7D64"/>
    <w:rsid w:val="0041595B"/>
    <w:rsid w:val="004223AC"/>
    <w:rsid w:val="00441489"/>
    <w:rsid w:val="004571E2"/>
    <w:rsid w:val="00471C7B"/>
    <w:rsid w:val="004970C6"/>
    <w:rsid w:val="004A1D5A"/>
    <w:rsid w:val="004A48E1"/>
    <w:rsid w:val="004A53E2"/>
    <w:rsid w:val="004C201F"/>
    <w:rsid w:val="004D26B8"/>
    <w:rsid w:val="0050129E"/>
    <w:rsid w:val="005158F9"/>
    <w:rsid w:val="00532D9F"/>
    <w:rsid w:val="0054389B"/>
    <w:rsid w:val="005521D6"/>
    <w:rsid w:val="005623FC"/>
    <w:rsid w:val="0056760F"/>
    <w:rsid w:val="00573C07"/>
    <w:rsid w:val="00590A1C"/>
    <w:rsid w:val="005A2E38"/>
    <w:rsid w:val="005A7CC7"/>
    <w:rsid w:val="005B634E"/>
    <w:rsid w:val="005C0B0F"/>
    <w:rsid w:val="005D73A0"/>
    <w:rsid w:val="006063FB"/>
    <w:rsid w:val="00606F64"/>
    <w:rsid w:val="0062355B"/>
    <w:rsid w:val="00636395"/>
    <w:rsid w:val="006422B2"/>
    <w:rsid w:val="00653D3E"/>
    <w:rsid w:val="00677488"/>
    <w:rsid w:val="00682B43"/>
    <w:rsid w:val="00682BCA"/>
    <w:rsid w:val="006943BE"/>
    <w:rsid w:val="006A0523"/>
    <w:rsid w:val="006A2878"/>
    <w:rsid w:val="006B35CA"/>
    <w:rsid w:val="006C3465"/>
    <w:rsid w:val="006C3FBF"/>
    <w:rsid w:val="006D71B3"/>
    <w:rsid w:val="006E7433"/>
    <w:rsid w:val="00703620"/>
    <w:rsid w:val="007153AE"/>
    <w:rsid w:val="007306F8"/>
    <w:rsid w:val="00733262"/>
    <w:rsid w:val="00735EBC"/>
    <w:rsid w:val="0075190B"/>
    <w:rsid w:val="00753484"/>
    <w:rsid w:val="00754191"/>
    <w:rsid w:val="0075498B"/>
    <w:rsid w:val="00762A06"/>
    <w:rsid w:val="007639FF"/>
    <w:rsid w:val="00767B8D"/>
    <w:rsid w:val="007929A6"/>
    <w:rsid w:val="00794DF2"/>
    <w:rsid w:val="007C3F10"/>
    <w:rsid w:val="007C45A3"/>
    <w:rsid w:val="007C70CB"/>
    <w:rsid w:val="007D322D"/>
    <w:rsid w:val="007D6223"/>
    <w:rsid w:val="008155DA"/>
    <w:rsid w:val="00817D74"/>
    <w:rsid w:val="00830F10"/>
    <w:rsid w:val="00857FF4"/>
    <w:rsid w:val="0086359B"/>
    <w:rsid w:val="00894993"/>
    <w:rsid w:val="00894CB4"/>
    <w:rsid w:val="00897822"/>
    <w:rsid w:val="008A11D5"/>
    <w:rsid w:val="008B689A"/>
    <w:rsid w:val="008C3105"/>
    <w:rsid w:val="008E56C6"/>
    <w:rsid w:val="00905C2C"/>
    <w:rsid w:val="00925A22"/>
    <w:rsid w:val="00925A44"/>
    <w:rsid w:val="00962E30"/>
    <w:rsid w:val="0096514F"/>
    <w:rsid w:val="0097018C"/>
    <w:rsid w:val="009878E5"/>
    <w:rsid w:val="00993530"/>
    <w:rsid w:val="009E030F"/>
    <w:rsid w:val="009E6DA9"/>
    <w:rsid w:val="009F7679"/>
    <w:rsid w:val="009F7F2F"/>
    <w:rsid w:val="00A00874"/>
    <w:rsid w:val="00A017AD"/>
    <w:rsid w:val="00A15F47"/>
    <w:rsid w:val="00A26AF5"/>
    <w:rsid w:val="00A46186"/>
    <w:rsid w:val="00A8465C"/>
    <w:rsid w:val="00AE7B78"/>
    <w:rsid w:val="00AF70EC"/>
    <w:rsid w:val="00B33FF5"/>
    <w:rsid w:val="00B42920"/>
    <w:rsid w:val="00B44F51"/>
    <w:rsid w:val="00B45D3A"/>
    <w:rsid w:val="00B942C0"/>
    <w:rsid w:val="00BA3940"/>
    <w:rsid w:val="00BA733D"/>
    <w:rsid w:val="00BB230C"/>
    <w:rsid w:val="00BC5345"/>
    <w:rsid w:val="00BD5E0F"/>
    <w:rsid w:val="00C17178"/>
    <w:rsid w:val="00C3744A"/>
    <w:rsid w:val="00C43BB1"/>
    <w:rsid w:val="00C46C81"/>
    <w:rsid w:val="00C471F5"/>
    <w:rsid w:val="00C8263F"/>
    <w:rsid w:val="00CB275F"/>
    <w:rsid w:val="00CD3584"/>
    <w:rsid w:val="00D05640"/>
    <w:rsid w:val="00D307F8"/>
    <w:rsid w:val="00D81886"/>
    <w:rsid w:val="00DD39C0"/>
    <w:rsid w:val="00E3625A"/>
    <w:rsid w:val="00E451F6"/>
    <w:rsid w:val="00E6622A"/>
    <w:rsid w:val="00EA27D3"/>
    <w:rsid w:val="00EB67D4"/>
    <w:rsid w:val="00EF33AA"/>
    <w:rsid w:val="00F45712"/>
    <w:rsid w:val="00F476E0"/>
    <w:rsid w:val="00F62B1E"/>
    <w:rsid w:val="00F83947"/>
    <w:rsid w:val="00FB73AA"/>
    <w:rsid w:val="00FC4A68"/>
    <w:rsid w:val="00FD25F9"/>
    <w:rsid w:val="00FE13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5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D26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307F8"/>
    <w:pPr>
      <w:ind w:leftChars="400" w:left="840"/>
    </w:pPr>
  </w:style>
  <w:style w:type="paragraph" w:styleId="a5">
    <w:name w:val="Balloon Text"/>
    <w:basedOn w:val="a"/>
    <w:link w:val="a6"/>
    <w:uiPriority w:val="99"/>
    <w:semiHidden/>
    <w:unhideWhenUsed/>
    <w:rsid w:val="00C1717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17178"/>
    <w:rPr>
      <w:rFonts w:asciiTheme="majorHAnsi" w:eastAsiaTheme="majorEastAsia" w:hAnsiTheme="majorHAnsi" w:cstheme="majorBidi"/>
      <w:sz w:val="18"/>
      <w:szCs w:val="18"/>
    </w:rPr>
  </w:style>
  <w:style w:type="paragraph" w:styleId="a7">
    <w:name w:val="header"/>
    <w:basedOn w:val="a"/>
    <w:link w:val="a8"/>
    <w:uiPriority w:val="99"/>
    <w:unhideWhenUsed/>
    <w:rsid w:val="00BD5E0F"/>
    <w:pPr>
      <w:tabs>
        <w:tab w:val="center" w:pos="4252"/>
        <w:tab w:val="right" w:pos="8504"/>
      </w:tabs>
      <w:snapToGrid w:val="0"/>
    </w:pPr>
  </w:style>
  <w:style w:type="character" w:customStyle="1" w:styleId="a8">
    <w:name w:val="ヘッダー (文字)"/>
    <w:basedOn w:val="a0"/>
    <w:link w:val="a7"/>
    <w:uiPriority w:val="99"/>
    <w:rsid w:val="00BD5E0F"/>
  </w:style>
  <w:style w:type="paragraph" w:styleId="a9">
    <w:name w:val="footer"/>
    <w:basedOn w:val="a"/>
    <w:link w:val="aa"/>
    <w:uiPriority w:val="99"/>
    <w:unhideWhenUsed/>
    <w:rsid w:val="00BD5E0F"/>
    <w:pPr>
      <w:tabs>
        <w:tab w:val="center" w:pos="4252"/>
        <w:tab w:val="right" w:pos="8504"/>
      </w:tabs>
      <w:snapToGrid w:val="0"/>
    </w:pPr>
  </w:style>
  <w:style w:type="character" w:customStyle="1" w:styleId="aa">
    <w:name w:val="フッター (文字)"/>
    <w:basedOn w:val="a0"/>
    <w:link w:val="a9"/>
    <w:uiPriority w:val="99"/>
    <w:rsid w:val="00BD5E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D389A-6A6C-4A78-815D-74DB1156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Pages>
  <Words>601</Words>
  <Characters>3427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谷山　明美</dc:creator>
  <cp:lastModifiedBy>谷山　明美</cp:lastModifiedBy>
  <cp:revision>16</cp:revision>
  <cp:lastPrinted>2014-10-01T01:53:00Z</cp:lastPrinted>
  <dcterms:created xsi:type="dcterms:W3CDTF">2014-07-10T10:24:00Z</dcterms:created>
  <dcterms:modified xsi:type="dcterms:W3CDTF">2014-10-01T01:55:00Z</dcterms:modified>
</cp:coreProperties>
</file>