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FD" w:rsidRPr="00001019" w:rsidRDefault="008B42FD" w:rsidP="008B42FD">
      <w:pPr>
        <w:jc w:val="center"/>
        <w:rPr>
          <w:rFonts w:ascii="游ゴシック" w:eastAsia="游ゴシック" w:hAnsi="游ゴシック"/>
          <w:sz w:val="22"/>
          <w:szCs w:val="20"/>
        </w:rPr>
      </w:pPr>
      <w:r w:rsidRPr="00001019">
        <w:rPr>
          <w:rFonts w:ascii="游ゴシック" w:eastAsia="游ゴシック" w:hAnsi="游ゴシック" w:hint="eastAsia"/>
          <w:sz w:val="22"/>
          <w:szCs w:val="20"/>
        </w:rPr>
        <w:t>「空家対策の取組方針」（案）に対する府民意見等の内容と府の考え方について</w:t>
      </w:r>
    </w:p>
    <w:p w:rsidR="008B42FD" w:rsidRPr="00001019" w:rsidRDefault="008B42FD" w:rsidP="008B42FD">
      <w:pPr>
        <w:rPr>
          <w:rFonts w:ascii="游ゴシック" w:eastAsia="游ゴシック" w:hAnsi="游ゴシック"/>
          <w:sz w:val="20"/>
          <w:szCs w:val="20"/>
        </w:rPr>
      </w:pPr>
    </w:p>
    <w:p w:rsidR="008B42FD" w:rsidRPr="00001019" w:rsidRDefault="008B42FD" w:rsidP="008B42FD">
      <w:pPr>
        <w:rPr>
          <w:rFonts w:ascii="游ゴシック" w:eastAsia="游ゴシック" w:hAnsi="游ゴシック"/>
          <w:sz w:val="20"/>
          <w:szCs w:val="20"/>
        </w:rPr>
      </w:pPr>
      <w:r w:rsidRPr="00001019">
        <w:rPr>
          <w:rFonts w:ascii="游ゴシック" w:eastAsia="游ゴシック" w:hAnsi="游ゴシック" w:hint="eastAsia"/>
          <w:sz w:val="20"/>
          <w:szCs w:val="20"/>
        </w:rPr>
        <w:t>☆</w:t>
      </w:r>
      <w:r w:rsidR="00D50638">
        <w:rPr>
          <w:rFonts w:ascii="游ゴシック" w:eastAsia="游ゴシック" w:hAnsi="游ゴシック" w:hint="eastAsia"/>
          <w:sz w:val="20"/>
          <w:szCs w:val="20"/>
        </w:rPr>
        <w:t>意見等の</w:t>
      </w:r>
      <w:r w:rsidRPr="00001019">
        <w:rPr>
          <w:rFonts w:ascii="游ゴシック" w:eastAsia="游ゴシック" w:hAnsi="游ゴシック" w:hint="eastAsia"/>
          <w:sz w:val="20"/>
          <w:szCs w:val="20"/>
        </w:rPr>
        <w:t>募集期間：令和４年２月７日（月曜日）から令和４年３月８日（火曜日）まで</w:t>
      </w:r>
    </w:p>
    <w:p w:rsidR="008B42FD" w:rsidRPr="00001019" w:rsidRDefault="008B42FD" w:rsidP="008B42FD">
      <w:pPr>
        <w:rPr>
          <w:rFonts w:ascii="游ゴシック" w:eastAsia="游ゴシック" w:hAnsi="游ゴシック"/>
          <w:sz w:val="20"/>
          <w:szCs w:val="20"/>
        </w:rPr>
      </w:pPr>
      <w:r w:rsidRPr="00001019">
        <w:rPr>
          <w:rFonts w:ascii="游ゴシック" w:eastAsia="游ゴシック" w:hAnsi="游ゴシック" w:hint="eastAsia"/>
          <w:sz w:val="20"/>
          <w:szCs w:val="20"/>
        </w:rPr>
        <w:t>☆</w:t>
      </w:r>
      <w:r w:rsidR="00D50638">
        <w:rPr>
          <w:rFonts w:ascii="游ゴシック" w:eastAsia="游ゴシック" w:hAnsi="游ゴシック" w:hint="eastAsia"/>
          <w:sz w:val="20"/>
          <w:szCs w:val="20"/>
        </w:rPr>
        <w:t>意見等の</w:t>
      </w:r>
      <w:r w:rsidR="0017757A">
        <w:rPr>
          <w:rFonts w:ascii="游ゴシック" w:eastAsia="游ゴシック" w:hAnsi="游ゴシック" w:hint="eastAsia"/>
          <w:sz w:val="20"/>
          <w:szCs w:val="20"/>
        </w:rPr>
        <w:t>募集方法：インターネット（電子申請）、郵送、ファクシミリ</w:t>
      </w:r>
    </w:p>
    <w:p w:rsidR="008B42FD" w:rsidRPr="00001019" w:rsidRDefault="008B42FD" w:rsidP="008B42FD">
      <w:pPr>
        <w:ind w:left="1200" w:hangingChars="600" w:hanging="1200"/>
        <w:rPr>
          <w:rFonts w:ascii="游ゴシック" w:eastAsia="游ゴシック" w:hAnsi="游ゴシック"/>
          <w:sz w:val="20"/>
          <w:szCs w:val="20"/>
        </w:rPr>
      </w:pPr>
      <w:r w:rsidRPr="00001019">
        <w:rPr>
          <w:rFonts w:ascii="游ゴシック" w:eastAsia="游ゴシック" w:hAnsi="游ゴシック" w:hint="eastAsia"/>
          <w:sz w:val="20"/>
          <w:szCs w:val="20"/>
        </w:rPr>
        <w:t>☆</w:t>
      </w:r>
      <w:r w:rsidR="00D50638">
        <w:rPr>
          <w:rFonts w:ascii="游ゴシック" w:eastAsia="游ゴシック" w:hAnsi="游ゴシック" w:hint="eastAsia"/>
          <w:sz w:val="20"/>
          <w:szCs w:val="20"/>
        </w:rPr>
        <w:t>意見等の</w:t>
      </w:r>
      <w:r w:rsidRPr="00001019">
        <w:rPr>
          <w:rFonts w:ascii="游ゴシック" w:eastAsia="游ゴシック" w:hAnsi="游ゴシック" w:hint="eastAsia"/>
          <w:sz w:val="20"/>
          <w:szCs w:val="20"/>
        </w:rPr>
        <w:t>募集結果：</w:t>
      </w:r>
      <w:r w:rsidR="0049658D" w:rsidRPr="0049658D">
        <w:rPr>
          <w:rFonts w:ascii="游ゴシック" w:eastAsia="游ゴシック" w:hAnsi="游ゴシック" w:hint="eastAsia"/>
          <w:sz w:val="20"/>
          <w:szCs w:val="20"/>
        </w:rPr>
        <w:t>２名</w:t>
      </w:r>
      <w:r w:rsidR="00F905C2">
        <w:rPr>
          <w:rFonts w:ascii="游ゴシック" w:eastAsia="游ゴシック" w:hAnsi="游ゴシック" w:hint="eastAsia"/>
          <w:sz w:val="20"/>
          <w:szCs w:val="20"/>
        </w:rPr>
        <w:t>から</w:t>
      </w:r>
      <w:r w:rsidR="0049658D" w:rsidRPr="0049658D">
        <w:rPr>
          <w:rFonts w:ascii="游ゴシック" w:eastAsia="游ゴシック" w:hAnsi="游ゴシック" w:hint="eastAsia"/>
          <w:sz w:val="20"/>
          <w:szCs w:val="20"/>
        </w:rPr>
        <w:t>６</w:t>
      </w:r>
      <w:r w:rsidR="00D50638">
        <w:rPr>
          <w:rFonts w:ascii="游ゴシック" w:eastAsia="游ゴシック" w:hAnsi="游ゴシック" w:hint="eastAsia"/>
          <w:sz w:val="20"/>
          <w:szCs w:val="20"/>
        </w:rPr>
        <w:t>件（うち、意見</w:t>
      </w:r>
      <w:r w:rsidR="00F905C2">
        <w:rPr>
          <w:rFonts w:ascii="游ゴシック" w:eastAsia="游ゴシック" w:hAnsi="游ゴシック" w:hint="eastAsia"/>
          <w:sz w:val="20"/>
          <w:szCs w:val="20"/>
        </w:rPr>
        <w:t>等</w:t>
      </w:r>
      <w:r w:rsidR="00D50638">
        <w:rPr>
          <w:rFonts w:ascii="游ゴシック" w:eastAsia="游ゴシック" w:hAnsi="游ゴシック" w:hint="eastAsia"/>
          <w:sz w:val="20"/>
          <w:szCs w:val="20"/>
        </w:rPr>
        <w:t>の公表を望まないもの０件）のご意見等</w:t>
      </w:r>
      <w:r w:rsidRPr="0049658D">
        <w:rPr>
          <w:rFonts w:ascii="游ゴシック" w:eastAsia="游ゴシック" w:hAnsi="游ゴシック" w:hint="eastAsia"/>
          <w:sz w:val="20"/>
          <w:szCs w:val="20"/>
        </w:rPr>
        <w:t>をいただきました。</w:t>
      </w:r>
    </w:p>
    <w:p w:rsidR="008B42FD" w:rsidRPr="00001019" w:rsidRDefault="00D50638" w:rsidP="00D50638">
      <w:pPr>
        <w:ind w:leftChars="600" w:left="1260" w:firstLineChars="400" w:firstLine="8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寄せられたご意見等の内容とそれ</w:t>
      </w:r>
      <w:r w:rsidR="008B42FD" w:rsidRPr="00001019">
        <w:rPr>
          <w:rFonts w:ascii="游ゴシック" w:eastAsia="游ゴシック" w:hAnsi="游ゴシック" w:hint="eastAsia"/>
          <w:sz w:val="20"/>
          <w:szCs w:val="20"/>
        </w:rPr>
        <w:t>に対する府の考え方は以下のとおりです。</w:t>
      </w:r>
    </w:p>
    <w:p w:rsidR="008B42FD" w:rsidRPr="00001019" w:rsidRDefault="008B42FD" w:rsidP="008B42FD">
      <w:pPr>
        <w:ind w:leftChars="600" w:left="126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3884" w:type="dxa"/>
        <w:tblInd w:w="108" w:type="dxa"/>
        <w:tblLook w:val="04A0" w:firstRow="1" w:lastRow="0" w:firstColumn="1" w:lastColumn="0" w:noHBand="0" w:noVBand="1"/>
      </w:tblPr>
      <w:tblGrid>
        <w:gridCol w:w="499"/>
        <w:gridCol w:w="4546"/>
        <w:gridCol w:w="4368"/>
        <w:gridCol w:w="4471"/>
      </w:tblGrid>
      <w:tr w:rsidR="007E5266" w:rsidRPr="00001019" w:rsidTr="00B955B9">
        <w:trPr>
          <w:trHeight w:val="656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7E5266" w:rsidRPr="00001019" w:rsidRDefault="00085102" w:rsidP="007574DC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7E5266" w:rsidRPr="00001019" w:rsidRDefault="007E5266" w:rsidP="007E5266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 w:rsidRPr="00001019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該当項目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7E5266" w:rsidRPr="00001019" w:rsidRDefault="007E5266" w:rsidP="007574DC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 w:rsidRPr="00001019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ご意見等の内容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7E5266" w:rsidRPr="00001019" w:rsidRDefault="007E5266" w:rsidP="007574DC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 w:rsidRPr="00001019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府の考え方</w:t>
            </w:r>
          </w:p>
        </w:tc>
      </w:tr>
      <w:tr w:rsidR="006F7A19" w:rsidRPr="00001019" w:rsidTr="00D50638">
        <w:trPr>
          <w:trHeight w:val="1700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49658D" w:rsidP="007574D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658D">
              <w:rPr>
                <w:rFonts w:ascii="游ゴシック" w:eastAsia="游ゴシック" w:hAnsi="游ゴシック" w:hint="eastAsia"/>
                <w:sz w:val="18"/>
                <w:szCs w:val="18"/>
              </w:rPr>
              <w:t>１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vAlign w:val="center"/>
          </w:tcPr>
          <w:p w:rsidR="006F7A19" w:rsidRDefault="006F7A19" w:rsidP="007574DC">
            <w:pPr>
              <w:spacing w:line="260" w:lineRule="exact"/>
              <w:rPr>
                <w:rStyle w:val="input"/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01019">
              <w:rPr>
                <w:rStyle w:val="input"/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第３　今後の取組み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6F7A19" w:rsidP="007574DC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>
              <w:rPr>
                <w:rStyle w:val="input"/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大阪万博とカジノの整備で、合計1500億円が初期費用として掛かるなら、今から、そのお金を空家対策に</w:t>
            </w:r>
            <w:r w:rsidRPr="00001019">
              <w:rPr>
                <w:rStyle w:val="input"/>
                <w:rFonts w:ascii="游ゴシック" w:eastAsia="游ゴシック" w:hAnsi="游ゴシック"/>
                <w:color w:val="000000"/>
                <w:sz w:val="20"/>
                <w:szCs w:val="20"/>
              </w:rPr>
              <w:t>回した方が、大阪の景気は確実に良くなると思います。ゼネコンにお金を回すなんてナンセンスだと思います。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6F7A19" w:rsidRPr="00001019" w:rsidRDefault="00615D31" w:rsidP="007574DC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ご意見については</w:t>
            </w:r>
            <w:r w:rsidR="001D6A06">
              <w:rPr>
                <w:rFonts w:ascii="游ゴシック" w:eastAsia="游ゴシック" w:hAnsi="游ゴシック" w:hint="eastAsia"/>
                <w:sz w:val="20"/>
                <w:szCs w:val="20"/>
              </w:rPr>
              <w:t>、関係部署にお伝えします</w:t>
            </w:r>
            <w:r w:rsidR="006F7A19"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  <w:tr w:rsidR="006F7A19" w:rsidRPr="00001019" w:rsidTr="00D50638">
        <w:trPr>
          <w:trHeight w:val="1539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49658D" w:rsidP="007574D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658D">
              <w:rPr>
                <w:rFonts w:ascii="游ゴシック" w:eastAsia="游ゴシック" w:hAnsi="游ゴシック" w:hint="eastAsia"/>
                <w:sz w:val="18"/>
                <w:szCs w:val="18"/>
              </w:rPr>
              <w:t>２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第３　１　具体的な取組み</w:t>
            </w:r>
          </w:p>
          <w:p w:rsidR="006F7A19" w:rsidRPr="006F7A19" w:rsidRDefault="006F7A19" w:rsidP="006F7A19">
            <w:pPr>
              <w:pStyle w:val="a6"/>
              <w:spacing w:line="260" w:lineRule="exact"/>
              <w:ind w:left="200" w:hangingChars="100" w:hanging="200"/>
              <w:rPr>
                <w:rStyle w:val="input"/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（１）危険な空家の除却等促進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危険な空家を増やさないためにも、カジノ誘致から撤退すべきである。</w:t>
            </w:r>
          </w:p>
          <w:p w:rsidR="006F7A19" w:rsidRPr="00001019" w:rsidRDefault="006F7A19" w:rsidP="007574DC">
            <w:pPr>
              <w:pStyle w:val="a6"/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ギャンブルでお金が無くなると、空き家が増えるのは目に見えています。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615D31" w:rsidP="009646D2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ご意見については</w:t>
            </w:r>
            <w:r w:rsidR="001D6A06">
              <w:rPr>
                <w:rFonts w:ascii="游ゴシック" w:eastAsia="游ゴシック" w:hAnsi="游ゴシック" w:hint="eastAsia"/>
                <w:sz w:val="20"/>
                <w:szCs w:val="20"/>
              </w:rPr>
              <w:t>、関係部署にお伝えします</w:t>
            </w:r>
            <w:r w:rsidR="009646D2" w:rsidRPr="009646D2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  <w:tr w:rsidR="006F7A19" w:rsidRPr="00001019" w:rsidTr="0049658D">
        <w:trPr>
          <w:trHeight w:val="2684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49658D" w:rsidP="007574D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658D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第３　１　具体的な取組み</w:t>
            </w:r>
          </w:p>
          <w:p w:rsidR="006F7A19" w:rsidRPr="00001019" w:rsidRDefault="006F7A19" w:rsidP="006F7A19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（１）危険な空家の除却等促進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所有者が高齢及び施設へ入所。親族も遠方のため、管理不可能な物件は市町村で買取り（物件の市場相場で）、解体後、更地で競売に出す。（そもそも、危険な空家状態になっているのは相続税や物件の解体費用、物件が大きいため、市場に出せない等が理由なので）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19" w:rsidRPr="009646D2" w:rsidRDefault="00F15E3E" w:rsidP="001D6A06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いただいた</w:t>
            </w:r>
            <w:r w:rsidR="001D6A06">
              <w:rPr>
                <w:rFonts w:ascii="游ゴシック" w:eastAsia="游ゴシック" w:hAnsi="游ゴシック" w:hint="eastAsia"/>
                <w:sz w:val="20"/>
                <w:szCs w:val="20"/>
              </w:rPr>
              <w:t>内容については、ご意見として承ります</w:t>
            </w:r>
            <w:r w:rsidR="009646D2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  <w:tr w:rsidR="006F7A19" w:rsidRPr="00001019" w:rsidTr="0069498B">
        <w:trPr>
          <w:trHeight w:val="715"/>
        </w:trPr>
        <w:tc>
          <w:tcPr>
            <w:tcW w:w="417" w:type="dxa"/>
            <w:shd w:val="clear" w:color="auto" w:fill="44546A" w:themeFill="text2"/>
            <w:vAlign w:val="center"/>
          </w:tcPr>
          <w:p w:rsidR="006F7A19" w:rsidRPr="00001019" w:rsidRDefault="00085102" w:rsidP="007574DC">
            <w:pPr>
              <w:spacing w:line="260" w:lineRule="exact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lastRenderedPageBreak/>
              <w:t>N</w:t>
            </w:r>
            <w:r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  <w:t>o.</w:t>
            </w:r>
            <w:bookmarkStart w:id="0" w:name="_GoBack"/>
            <w:bookmarkEnd w:id="0"/>
          </w:p>
        </w:tc>
        <w:tc>
          <w:tcPr>
            <w:tcW w:w="4573" w:type="dxa"/>
            <w:shd w:val="clear" w:color="auto" w:fill="44546A" w:themeFill="text2"/>
            <w:vAlign w:val="center"/>
          </w:tcPr>
          <w:p w:rsidR="006F7A19" w:rsidRPr="00001019" w:rsidRDefault="006F7A19" w:rsidP="006F7A19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 w:rsidRPr="00001019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該当項目</w:t>
            </w:r>
          </w:p>
        </w:tc>
        <w:tc>
          <w:tcPr>
            <w:tcW w:w="4395" w:type="dxa"/>
            <w:shd w:val="clear" w:color="auto" w:fill="44546A" w:themeFill="text2"/>
            <w:vAlign w:val="center"/>
          </w:tcPr>
          <w:p w:rsidR="006F7A19" w:rsidRPr="00001019" w:rsidRDefault="006F7A19" w:rsidP="007574DC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 w:rsidRPr="00001019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ご意見等の内容</w:t>
            </w:r>
          </w:p>
        </w:tc>
        <w:tc>
          <w:tcPr>
            <w:tcW w:w="4499" w:type="dxa"/>
            <w:shd w:val="clear" w:color="auto" w:fill="44546A" w:themeFill="text2"/>
            <w:vAlign w:val="center"/>
          </w:tcPr>
          <w:p w:rsidR="006F7A19" w:rsidRPr="00001019" w:rsidRDefault="006F7A19" w:rsidP="007574DC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</w:pPr>
            <w:r w:rsidRPr="00001019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府の考え方</w:t>
            </w:r>
          </w:p>
        </w:tc>
      </w:tr>
      <w:tr w:rsidR="006F7A19" w:rsidRPr="00001019" w:rsidTr="009646D2">
        <w:trPr>
          <w:trHeight w:val="1973"/>
        </w:trPr>
        <w:tc>
          <w:tcPr>
            <w:tcW w:w="417" w:type="dxa"/>
            <w:vAlign w:val="center"/>
          </w:tcPr>
          <w:p w:rsidR="006F7A19" w:rsidRPr="00001019" w:rsidRDefault="0049658D" w:rsidP="007574D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658D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</w:p>
        </w:tc>
        <w:tc>
          <w:tcPr>
            <w:tcW w:w="4573" w:type="dxa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第３　１　具体的な取組み</w:t>
            </w:r>
          </w:p>
          <w:p w:rsidR="006F7A19" w:rsidRPr="00001019" w:rsidRDefault="006F7A19" w:rsidP="006F7A19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（２）空家等を活用したまちづくりの推進</w:t>
            </w:r>
          </w:p>
        </w:tc>
        <w:tc>
          <w:tcPr>
            <w:tcW w:w="4395" w:type="dxa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バリアフリー改装等して、障がい者、高齢者、保育、学童施設として開放する。</w:t>
            </w:r>
          </w:p>
        </w:tc>
        <w:tc>
          <w:tcPr>
            <w:tcW w:w="4499" w:type="dxa"/>
            <w:vAlign w:val="center"/>
          </w:tcPr>
          <w:p w:rsidR="006F7A19" w:rsidRPr="00001019" w:rsidRDefault="00F15E3E" w:rsidP="009646D2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いただいた</w:t>
            </w:r>
            <w:r w:rsidR="001D6A06">
              <w:rPr>
                <w:rFonts w:ascii="游ゴシック" w:eastAsia="游ゴシック" w:hAnsi="游ゴシック" w:hint="eastAsia"/>
                <w:sz w:val="20"/>
                <w:szCs w:val="20"/>
              </w:rPr>
              <w:t>内容については、ご意見として承ります。</w:t>
            </w:r>
          </w:p>
        </w:tc>
      </w:tr>
      <w:tr w:rsidR="006F7A19" w:rsidRPr="00001019" w:rsidTr="009646D2">
        <w:trPr>
          <w:trHeight w:val="1958"/>
        </w:trPr>
        <w:tc>
          <w:tcPr>
            <w:tcW w:w="417" w:type="dxa"/>
            <w:vAlign w:val="center"/>
          </w:tcPr>
          <w:p w:rsidR="006F7A19" w:rsidRPr="00001019" w:rsidRDefault="0049658D" w:rsidP="007574D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658D"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  <w:tc>
          <w:tcPr>
            <w:tcW w:w="4573" w:type="dxa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第３　１　具体的な取組み</w:t>
            </w:r>
          </w:p>
          <w:p w:rsidR="006F7A19" w:rsidRPr="00001019" w:rsidRDefault="006F7A19" w:rsidP="007574DC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（２）空家等を活用したまちづくりの推進</w:t>
            </w:r>
          </w:p>
          <w:p w:rsidR="006F7A19" w:rsidRPr="00001019" w:rsidRDefault="006F7A19" w:rsidP="006F7A19">
            <w:pPr>
              <w:pStyle w:val="a6"/>
              <w:spacing w:line="260" w:lineRule="exact"/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（３）既存住宅流通・リフォーム市場の環境整備・活性化</w:t>
            </w:r>
          </w:p>
        </w:tc>
        <w:tc>
          <w:tcPr>
            <w:tcW w:w="4395" w:type="dxa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リフォーム可能な物件（材質、基礎等躯体が耐震性を備える場合）は既存住宅流通、リフォーム市場の環境整備や子育て世代の若い夫婦へ安価で提供する。</w:t>
            </w:r>
          </w:p>
        </w:tc>
        <w:tc>
          <w:tcPr>
            <w:tcW w:w="4499" w:type="dxa"/>
            <w:vAlign w:val="center"/>
          </w:tcPr>
          <w:p w:rsidR="006F7A19" w:rsidRPr="00FC4B35" w:rsidRDefault="00F15E3E" w:rsidP="009646D2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いただいた</w:t>
            </w:r>
            <w:r w:rsidR="001D6A06">
              <w:rPr>
                <w:rFonts w:ascii="游ゴシック" w:eastAsia="游ゴシック" w:hAnsi="游ゴシック" w:hint="eastAsia"/>
                <w:sz w:val="20"/>
                <w:szCs w:val="20"/>
              </w:rPr>
              <w:t>内容については、ご意見として承ります。</w:t>
            </w:r>
          </w:p>
        </w:tc>
      </w:tr>
      <w:tr w:rsidR="006F7A19" w:rsidRPr="00001019" w:rsidTr="00501C8D">
        <w:trPr>
          <w:trHeight w:val="1976"/>
        </w:trPr>
        <w:tc>
          <w:tcPr>
            <w:tcW w:w="417" w:type="dxa"/>
            <w:vAlign w:val="center"/>
          </w:tcPr>
          <w:p w:rsidR="006F7A19" w:rsidRPr="00001019" w:rsidRDefault="0049658D" w:rsidP="007574D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658D">
              <w:rPr>
                <w:rFonts w:ascii="游ゴシック" w:eastAsia="游ゴシック" w:hAnsi="游ゴシック" w:hint="eastAsia"/>
                <w:sz w:val="18"/>
                <w:szCs w:val="18"/>
              </w:rPr>
              <w:t>６</w:t>
            </w:r>
          </w:p>
        </w:tc>
        <w:tc>
          <w:tcPr>
            <w:tcW w:w="4573" w:type="dxa"/>
            <w:vAlign w:val="center"/>
          </w:tcPr>
          <w:p w:rsidR="006F7A19" w:rsidRDefault="006F7A19" w:rsidP="007574DC">
            <w:pPr>
              <w:pStyle w:val="a6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参考資料３</w:t>
            </w:r>
          </w:p>
          <w:p w:rsidR="006F7A19" w:rsidRPr="00001019" w:rsidRDefault="006F7A19" w:rsidP="007574DC">
            <w:pPr>
              <w:pStyle w:val="a6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「住生活基本計画」及び「住まうビジョン・大阪」（空家対策部分抜粋）</w:t>
            </w:r>
          </w:p>
        </w:tc>
        <w:tc>
          <w:tcPr>
            <w:tcW w:w="4395" w:type="dxa"/>
            <w:vAlign w:val="center"/>
          </w:tcPr>
          <w:p w:rsidR="006F7A19" w:rsidRPr="00001019" w:rsidRDefault="006F7A19" w:rsidP="007574DC">
            <w:pPr>
              <w:pStyle w:val="a6"/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 w:rsidRPr="00001019">
              <w:rPr>
                <w:rFonts w:ascii="游ゴシック" w:eastAsia="游ゴシック" w:hAnsi="游ゴシック" w:hint="eastAsia"/>
                <w:sz w:val="20"/>
                <w:szCs w:val="20"/>
              </w:rPr>
              <w:t>大阪の住生活の基本計画の中に、府内の「遊郭一掃」を大阪府・大阪市・和泉市・大阪府警と合同で取り組むことを盛り込んでほしい。</w:t>
            </w:r>
          </w:p>
        </w:tc>
        <w:tc>
          <w:tcPr>
            <w:tcW w:w="4499" w:type="dxa"/>
            <w:vAlign w:val="center"/>
          </w:tcPr>
          <w:p w:rsidR="006F7A19" w:rsidRPr="00AE4291" w:rsidRDefault="00F15E3E" w:rsidP="00AE4291">
            <w:pPr>
              <w:spacing w:line="26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いただいた</w:t>
            </w:r>
            <w:r w:rsidR="001D6A06">
              <w:rPr>
                <w:rFonts w:ascii="游ゴシック" w:eastAsia="游ゴシック" w:hAnsi="游ゴシック" w:hint="eastAsia"/>
                <w:sz w:val="20"/>
                <w:szCs w:val="20"/>
              </w:rPr>
              <w:t>内容</w:t>
            </w:r>
            <w:r w:rsidR="00AE4291">
              <w:rPr>
                <w:rFonts w:ascii="游ゴシック" w:eastAsia="游ゴシック" w:hAnsi="游ゴシック" w:hint="eastAsia"/>
                <w:sz w:val="20"/>
                <w:szCs w:val="20"/>
              </w:rPr>
              <w:t>は、</w:t>
            </w:r>
            <w:r w:rsidR="006F7A19" w:rsidRPr="008B42FD">
              <w:rPr>
                <w:rFonts w:ascii="游ゴシック" w:eastAsia="游ゴシック" w:hAnsi="游ゴシック" w:hint="eastAsia"/>
                <w:sz w:val="20"/>
                <w:szCs w:val="20"/>
              </w:rPr>
              <w:t>住ま</w:t>
            </w:r>
            <w:r w:rsidR="00AE4291">
              <w:rPr>
                <w:rFonts w:ascii="游ゴシック" w:eastAsia="游ゴシック" w:hAnsi="游ゴシック" w:hint="eastAsia"/>
                <w:sz w:val="20"/>
                <w:szCs w:val="20"/>
              </w:rPr>
              <w:t>うビジョン・大阪（大阪府住生活基本計画）についてのものですが</w:t>
            </w:r>
            <w:r w:rsidR="009646D2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AE4291">
              <w:rPr>
                <w:rFonts w:ascii="游ゴシック" w:eastAsia="游ゴシック" w:hAnsi="游ゴシック" w:hint="eastAsia"/>
                <w:sz w:val="20"/>
                <w:szCs w:val="20"/>
              </w:rPr>
              <w:t>住まうビジョン・大阪は、令和３年９月13日から令和３年10月13日までの府民意見等の募集期間を経て、</w:t>
            </w:r>
            <w:r w:rsidR="001620B6">
              <w:rPr>
                <w:rFonts w:ascii="游ゴシック" w:eastAsia="游ゴシック" w:hAnsi="游ゴシック" w:hint="eastAsia"/>
                <w:sz w:val="20"/>
                <w:szCs w:val="20"/>
              </w:rPr>
              <w:t>同年</w:t>
            </w:r>
            <w:r w:rsidR="006F7A19" w:rsidRPr="008B42FD">
              <w:rPr>
                <w:rFonts w:ascii="游ゴシック" w:eastAsia="游ゴシック" w:hAnsi="游ゴシック" w:hint="eastAsia"/>
                <w:sz w:val="20"/>
                <w:szCs w:val="20"/>
              </w:rPr>
              <w:t>12</w:t>
            </w:r>
            <w:r w:rsidR="00AE4291">
              <w:rPr>
                <w:rFonts w:ascii="游ゴシック" w:eastAsia="游ゴシック" w:hAnsi="游ゴシック" w:hint="eastAsia"/>
                <w:sz w:val="20"/>
                <w:szCs w:val="20"/>
              </w:rPr>
              <w:t>月に改定しております</w:t>
            </w:r>
            <w:r w:rsidR="009646D2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</w:tbl>
    <w:p w:rsidR="008B42FD" w:rsidRPr="00951B16" w:rsidRDefault="008B42FD" w:rsidP="008B42FD">
      <w:pPr>
        <w:rPr>
          <w:rFonts w:ascii="游ゴシック" w:eastAsia="游ゴシック" w:hAnsi="游ゴシック"/>
          <w:sz w:val="20"/>
          <w:szCs w:val="20"/>
        </w:rPr>
      </w:pPr>
    </w:p>
    <w:sectPr w:rsidR="008B42FD" w:rsidRPr="00951B16" w:rsidSect="000D0BB1">
      <w:footerReference w:type="default" r:id="rId6"/>
      <w:pgSz w:w="16838" w:h="11906" w:orient="landscape" w:code="9"/>
      <w:pgMar w:top="907" w:right="1418" w:bottom="90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35" w:rsidRDefault="00AB4935">
      <w:r>
        <w:separator/>
      </w:r>
    </w:p>
  </w:endnote>
  <w:endnote w:type="continuationSeparator" w:id="0">
    <w:p w:rsidR="00AB4935" w:rsidRDefault="00AB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04198"/>
      <w:docPartObj>
        <w:docPartGallery w:val="Page Numbers (Bottom of Page)"/>
        <w:docPartUnique/>
      </w:docPartObj>
    </w:sdtPr>
    <w:sdtEndPr/>
    <w:sdtContent>
      <w:p w:rsidR="00C2483E" w:rsidRDefault="008B42FD" w:rsidP="00026C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02" w:rsidRPr="0008510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35" w:rsidRDefault="00AB4935">
      <w:r>
        <w:separator/>
      </w:r>
    </w:p>
  </w:footnote>
  <w:footnote w:type="continuationSeparator" w:id="0">
    <w:p w:rsidR="00AB4935" w:rsidRDefault="00AB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FD"/>
    <w:rsid w:val="00040E7E"/>
    <w:rsid w:val="00085102"/>
    <w:rsid w:val="001620B6"/>
    <w:rsid w:val="0017757A"/>
    <w:rsid w:val="001D6A06"/>
    <w:rsid w:val="0049415E"/>
    <w:rsid w:val="0049658D"/>
    <w:rsid w:val="00517BEA"/>
    <w:rsid w:val="00615D31"/>
    <w:rsid w:val="006D61B7"/>
    <w:rsid w:val="006F7A19"/>
    <w:rsid w:val="0079460C"/>
    <w:rsid w:val="007E5266"/>
    <w:rsid w:val="008B42FD"/>
    <w:rsid w:val="009048C6"/>
    <w:rsid w:val="009646D2"/>
    <w:rsid w:val="00AB4935"/>
    <w:rsid w:val="00AE4291"/>
    <w:rsid w:val="00C30878"/>
    <w:rsid w:val="00D50638"/>
    <w:rsid w:val="00F15E3E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AF9A16"/>
  <w15:chartTrackingRefBased/>
  <w15:docId w15:val="{BB8B10A3-4E5F-4B83-A190-2492330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B4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B42FD"/>
  </w:style>
  <w:style w:type="paragraph" w:styleId="a6">
    <w:name w:val="No Spacing"/>
    <w:uiPriority w:val="1"/>
    <w:qFormat/>
    <w:rsid w:val="008B42FD"/>
    <w:pPr>
      <w:widowControl w:val="0"/>
      <w:jc w:val="both"/>
    </w:pPr>
  </w:style>
  <w:style w:type="character" w:customStyle="1" w:styleId="input">
    <w:name w:val="input"/>
    <w:basedOn w:val="a0"/>
    <w:rsid w:val="008B42FD"/>
  </w:style>
  <w:style w:type="character" w:styleId="a7">
    <w:name w:val="annotation reference"/>
    <w:basedOn w:val="a0"/>
    <w:uiPriority w:val="99"/>
    <w:semiHidden/>
    <w:unhideWhenUsed/>
    <w:rsid w:val="008B42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42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42FD"/>
  </w:style>
  <w:style w:type="paragraph" w:styleId="aa">
    <w:name w:val="Balloon Text"/>
    <w:basedOn w:val="a"/>
    <w:link w:val="ab"/>
    <w:uiPriority w:val="99"/>
    <w:semiHidden/>
    <w:unhideWhenUsed/>
    <w:rsid w:val="008B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42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946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文人</dc:creator>
  <cp:keywords/>
  <dc:description/>
  <cp:lastModifiedBy>栗林　文人</cp:lastModifiedBy>
  <cp:revision>13</cp:revision>
  <dcterms:created xsi:type="dcterms:W3CDTF">2022-03-04T04:45:00Z</dcterms:created>
  <dcterms:modified xsi:type="dcterms:W3CDTF">2022-03-29T08:30:00Z</dcterms:modified>
</cp:coreProperties>
</file>