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AF0" w:rsidRDefault="00A73AF0" w:rsidP="001046D3"/>
    <w:p w:rsidR="00A73AF0" w:rsidRDefault="00A73AF0" w:rsidP="001046D3"/>
    <w:p w:rsidR="00A73AF0" w:rsidRDefault="00A73AF0" w:rsidP="001046D3"/>
    <w:p w:rsidR="00A73AF0" w:rsidRDefault="00A73AF0" w:rsidP="001046D3"/>
    <w:p w:rsidR="00A73AF0" w:rsidRDefault="00A73AF0" w:rsidP="001046D3"/>
    <w:p w:rsidR="000B2F2A" w:rsidRPr="002D2AF3" w:rsidRDefault="000B2F2A" w:rsidP="000B2F2A">
      <w:pPr>
        <w:widowControl/>
        <w:jc w:val="center"/>
        <w:rPr>
          <w:sz w:val="56"/>
          <w:szCs w:val="56"/>
        </w:rPr>
      </w:pPr>
      <w:r w:rsidRPr="002D2AF3">
        <w:rPr>
          <w:rFonts w:hint="eastAsia"/>
          <w:sz w:val="56"/>
          <w:szCs w:val="56"/>
        </w:rPr>
        <w:t>豊能町木代地区</w:t>
      </w:r>
    </w:p>
    <w:p w:rsidR="000B2F2A" w:rsidRPr="002D2AF3" w:rsidRDefault="000B2F2A" w:rsidP="000B2F2A">
      <w:pPr>
        <w:widowControl/>
        <w:jc w:val="center"/>
        <w:rPr>
          <w:sz w:val="56"/>
          <w:szCs w:val="56"/>
        </w:rPr>
      </w:pPr>
      <w:r w:rsidRPr="002D2AF3">
        <w:rPr>
          <w:rFonts w:hint="eastAsia"/>
          <w:sz w:val="56"/>
          <w:szCs w:val="56"/>
        </w:rPr>
        <w:t>大阪府緑地環境保全地域</w:t>
      </w:r>
    </w:p>
    <w:p w:rsidR="00A73AF0" w:rsidRPr="000B2F2A" w:rsidRDefault="00A73AF0" w:rsidP="001046D3"/>
    <w:p w:rsidR="00A73AF0" w:rsidRDefault="00A73AF0" w:rsidP="001046D3"/>
    <w:p w:rsidR="00A73AF0" w:rsidRDefault="00A73AF0" w:rsidP="001046D3"/>
    <w:p w:rsidR="00A73AF0" w:rsidRPr="00590477" w:rsidRDefault="00A73AF0" w:rsidP="00A73AF0">
      <w:pPr>
        <w:jc w:val="center"/>
        <w:rPr>
          <w:sz w:val="44"/>
          <w:szCs w:val="44"/>
        </w:rPr>
      </w:pPr>
      <w:r w:rsidRPr="00590477">
        <w:rPr>
          <w:rFonts w:hint="eastAsia"/>
          <w:sz w:val="44"/>
          <w:szCs w:val="44"/>
        </w:rPr>
        <w:t>保全計画書</w:t>
      </w:r>
    </w:p>
    <w:p w:rsidR="00A73AF0" w:rsidRDefault="00A73AF0">
      <w:pPr>
        <w:widowControl/>
        <w:jc w:val="left"/>
        <w:rPr>
          <w:sz w:val="40"/>
          <w:szCs w:val="40"/>
        </w:rPr>
      </w:pPr>
      <w:r>
        <w:rPr>
          <w:sz w:val="40"/>
          <w:szCs w:val="40"/>
        </w:rPr>
        <w:br w:type="page"/>
      </w:r>
    </w:p>
    <w:p w:rsidR="00A73AF0" w:rsidRDefault="00A73AF0" w:rsidP="00A73AF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豊能町木代地区緑地環境保全地域における保全計画</w:t>
      </w:r>
    </w:p>
    <w:p w:rsidR="006B2820" w:rsidRDefault="006B2820" w:rsidP="00A73AF0">
      <w:pPr>
        <w:jc w:val="left"/>
        <w:rPr>
          <w:sz w:val="24"/>
          <w:szCs w:val="24"/>
        </w:rPr>
      </w:pPr>
    </w:p>
    <w:p w:rsidR="00E24C7E" w:rsidRDefault="00E24C7E" w:rsidP="00E24C7E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1B198F" w:rsidRPr="00B24E68">
        <w:rPr>
          <w:rFonts w:hint="eastAsia"/>
          <w:szCs w:val="21"/>
        </w:rPr>
        <w:t>緑地環境の保全に関する基本的な事項</w:t>
      </w:r>
    </w:p>
    <w:p w:rsidR="00A73AF0" w:rsidRPr="00B24E68" w:rsidRDefault="00A73AF0" w:rsidP="00E24C7E">
      <w:pPr>
        <w:jc w:val="left"/>
        <w:rPr>
          <w:szCs w:val="21"/>
        </w:rPr>
      </w:pPr>
      <w:r w:rsidRPr="00B24E68">
        <w:rPr>
          <w:rFonts w:hint="eastAsia"/>
          <w:szCs w:val="21"/>
        </w:rPr>
        <w:t>（１）保全すべき自然環境の特質</w:t>
      </w:r>
    </w:p>
    <w:p w:rsidR="00B24E68" w:rsidRPr="00B24E68" w:rsidRDefault="000457B0" w:rsidP="00E24C7E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本</w:t>
      </w:r>
      <w:r w:rsidR="00B24E68" w:rsidRPr="00B24E68">
        <w:rPr>
          <w:rFonts w:hint="eastAsia"/>
          <w:szCs w:val="21"/>
        </w:rPr>
        <w:t>地域は豊能町の東端であり</w:t>
      </w:r>
      <w:r w:rsidR="00F47B8D">
        <w:rPr>
          <w:rFonts w:hint="eastAsia"/>
          <w:szCs w:val="21"/>
        </w:rPr>
        <w:t>、</w:t>
      </w:r>
      <w:r w:rsidR="00B24E68" w:rsidRPr="00B24E68">
        <w:rPr>
          <w:rFonts w:hint="eastAsia"/>
          <w:szCs w:val="21"/>
        </w:rPr>
        <w:t>茨木市との境に位置する稜線から北西に広がる斜面である。</w:t>
      </w:r>
    </w:p>
    <w:p w:rsidR="00BC6BA2" w:rsidRPr="00B24E68" w:rsidRDefault="004761A6" w:rsidP="00E24C7E">
      <w:pPr>
        <w:ind w:leftChars="100" w:left="210" w:firstLineChars="100" w:firstLine="210"/>
        <w:jc w:val="left"/>
        <w:rPr>
          <w:szCs w:val="21"/>
        </w:rPr>
      </w:pPr>
      <w:r w:rsidRPr="00B24E68">
        <w:rPr>
          <w:rFonts w:hint="eastAsia"/>
          <w:szCs w:val="21"/>
        </w:rPr>
        <w:t>稜線を挟んだ東側の</w:t>
      </w:r>
      <w:r w:rsidR="00A04BE7" w:rsidRPr="00B24E68">
        <w:rPr>
          <w:rFonts w:hint="eastAsia"/>
          <w:szCs w:val="21"/>
        </w:rPr>
        <w:t>茨木市</w:t>
      </w:r>
      <w:r w:rsidRPr="00B24E68">
        <w:rPr>
          <w:rFonts w:hint="eastAsia"/>
          <w:szCs w:val="21"/>
        </w:rPr>
        <w:t>域</w:t>
      </w:r>
      <w:r w:rsidR="00180D1F" w:rsidRPr="00B24E68">
        <w:rPr>
          <w:rFonts w:hint="eastAsia"/>
          <w:szCs w:val="21"/>
        </w:rPr>
        <w:t>は</w:t>
      </w:r>
      <w:r w:rsidR="00A04BE7" w:rsidRPr="00B24E68">
        <w:rPr>
          <w:rFonts w:hint="eastAsia"/>
          <w:szCs w:val="21"/>
        </w:rPr>
        <w:t>、大阪府</w:t>
      </w:r>
      <w:r w:rsidR="00F47B8D">
        <w:rPr>
          <w:rFonts w:hint="eastAsia"/>
          <w:szCs w:val="21"/>
        </w:rPr>
        <w:t>立</w:t>
      </w:r>
      <w:r w:rsidR="00A04BE7" w:rsidRPr="00B24E68">
        <w:rPr>
          <w:rFonts w:hint="eastAsia"/>
          <w:szCs w:val="21"/>
        </w:rPr>
        <w:t>自然公園条例に基づく府立北摂自然公園</w:t>
      </w:r>
      <w:r w:rsidR="00F47B8D">
        <w:rPr>
          <w:rFonts w:hint="eastAsia"/>
          <w:szCs w:val="21"/>
        </w:rPr>
        <w:t>（</w:t>
      </w:r>
      <w:r w:rsidR="00A04BE7" w:rsidRPr="00B24E68">
        <w:rPr>
          <w:rFonts w:hint="eastAsia"/>
          <w:szCs w:val="21"/>
        </w:rPr>
        <w:t>多留見地区</w:t>
      </w:r>
      <w:r w:rsidR="00F47B8D">
        <w:rPr>
          <w:rFonts w:hint="eastAsia"/>
          <w:szCs w:val="21"/>
        </w:rPr>
        <w:t>）</w:t>
      </w:r>
      <w:r w:rsidR="00A04BE7" w:rsidRPr="00B24E68">
        <w:rPr>
          <w:rFonts w:hint="eastAsia"/>
          <w:szCs w:val="21"/>
        </w:rPr>
        <w:t>に指定されて</w:t>
      </w:r>
      <w:r w:rsidR="00180D1F" w:rsidRPr="00B24E68">
        <w:rPr>
          <w:rFonts w:hint="eastAsia"/>
          <w:szCs w:val="21"/>
        </w:rPr>
        <w:t>おり、</w:t>
      </w:r>
      <w:r w:rsidR="00845E5A">
        <w:rPr>
          <w:rFonts w:hint="eastAsia"/>
          <w:szCs w:val="21"/>
        </w:rPr>
        <w:t>その豊かな自然は自然歩道の利用を</w:t>
      </w:r>
      <w:r w:rsidR="00F47B8D">
        <w:rPr>
          <w:rFonts w:hint="eastAsia"/>
          <w:szCs w:val="21"/>
        </w:rPr>
        <w:t>通じて</w:t>
      </w:r>
      <w:r w:rsidR="00A04BE7" w:rsidRPr="00B24E68">
        <w:rPr>
          <w:rFonts w:hint="eastAsia"/>
          <w:szCs w:val="21"/>
        </w:rPr>
        <w:t>多くの府民に親しまれている</w:t>
      </w:r>
      <w:r w:rsidR="00041E13" w:rsidRPr="00B24E68">
        <w:rPr>
          <w:rFonts w:hint="eastAsia"/>
          <w:szCs w:val="21"/>
        </w:rPr>
        <w:t>。</w:t>
      </w:r>
    </w:p>
    <w:p w:rsidR="00770AD5" w:rsidRDefault="005F7387" w:rsidP="00E24C7E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本地域の植生は、</w:t>
      </w:r>
      <w:r w:rsidR="00F9276F" w:rsidRPr="00F9276F">
        <w:rPr>
          <w:rFonts w:hint="eastAsia"/>
          <w:szCs w:val="21"/>
        </w:rPr>
        <w:t>スギ、ヒノキの人工林</w:t>
      </w:r>
      <w:r w:rsidR="00F9276F">
        <w:rPr>
          <w:rFonts w:hint="eastAsia"/>
          <w:szCs w:val="21"/>
        </w:rPr>
        <w:t>と、</w:t>
      </w:r>
      <w:r>
        <w:rPr>
          <w:rFonts w:hint="eastAsia"/>
          <w:szCs w:val="21"/>
        </w:rPr>
        <w:t>コナラ、</w:t>
      </w:r>
      <w:r w:rsidR="00F74519">
        <w:rPr>
          <w:rFonts w:hint="eastAsia"/>
          <w:szCs w:val="21"/>
        </w:rPr>
        <w:t>アカマツ</w:t>
      </w:r>
      <w:r w:rsidR="006B2820" w:rsidRPr="00B24E68">
        <w:rPr>
          <w:rFonts w:hint="eastAsia"/>
          <w:szCs w:val="21"/>
        </w:rPr>
        <w:t>など</w:t>
      </w:r>
      <w:r w:rsidR="00DC72E5">
        <w:rPr>
          <w:rFonts w:hint="eastAsia"/>
          <w:szCs w:val="21"/>
        </w:rPr>
        <w:t>からなる二次林</w:t>
      </w:r>
      <w:r w:rsidR="007971E3">
        <w:rPr>
          <w:rFonts w:hint="eastAsia"/>
          <w:szCs w:val="21"/>
        </w:rPr>
        <w:t>から</w:t>
      </w:r>
      <w:r w:rsidR="00F9276F">
        <w:rPr>
          <w:rFonts w:hint="eastAsia"/>
          <w:szCs w:val="21"/>
        </w:rPr>
        <w:t>構成され</w:t>
      </w:r>
      <w:r w:rsidR="007971E3">
        <w:rPr>
          <w:rFonts w:hint="eastAsia"/>
          <w:szCs w:val="21"/>
        </w:rPr>
        <w:t>ており、隣接する府立自然公園と一体</w:t>
      </w:r>
      <w:r w:rsidR="005241B9">
        <w:rPr>
          <w:rFonts w:hint="eastAsia"/>
          <w:szCs w:val="21"/>
        </w:rPr>
        <w:t>となり</w:t>
      </w:r>
      <w:r w:rsidR="00770AD5">
        <w:rPr>
          <w:rFonts w:hint="eastAsia"/>
          <w:szCs w:val="21"/>
        </w:rPr>
        <w:t>良好な緑地環境を形成している。</w:t>
      </w:r>
    </w:p>
    <w:p w:rsidR="00BC6BA2" w:rsidRPr="00B24E68" w:rsidRDefault="00041E13" w:rsidP="00E24C7E">
      <w:pPr>
        <w:ind w:leftChars="100" w:left="210" w:firstLineChars="100" w:firstLine="210"/>
        <w:jc w:val="left"/>
        <w:rPr>
          <w:szCs w:val="21"/>
        </w:rPr>
      </w:pPr>
      <w:r w:rsidRPr="00B24E68">
        <w:rPr>
          <w:rFonts w:hint="eastAsia"/>
          <w:szCs w:val="21"/>
        </w:rPr>
        <w:t>しかし</w:t>
      </w:r>
      <w:r w:rsidR="000457B0">
        <w:rPr>
          <w:rFonts w:hint="eastAsia"/>
          <w:szCs w:val="21"/>
        </w:rPr>
        <w:t>本</w:t>
      </w:r>
      <w:r w:rsidR="00F9276F">
        <w:rPr>
          <w:rFonts w:hint="eastAsia"/>
          <w:szCs w:val="21"/>
        </w:rPr>
        <w:t>地</w:t>
      </w:r>
      <w:r w:rsidR="004E64A2">
        <w:rPr>
          <w:rFonts w:hint="eastAsia"/>
          <w:szCs w:val="21"/>
        </w:rPr>
        <w:t>域</w:t>
      </w:r>
      <w:r w:rsidR="00F9276F">
        <w:rPr>
          <w:rFonts w:hint="eastAsia"/>
          <w:szCs w:val="21"/>
        </w:rPr>
        <w:t>周辺</w:t>
      </w:r>
      <w:r w:rsidR="005241B9">
        <w:rPr>
          <w:rFonts w:hint="eastAsia"/>
          <w:szCs w:val="21"/>
        </w:rPr>
        <w:t>で</w:t>
      </w:r>
      <w:r w:rsidR="00A031E5" w:rsidRPr="00B24E68">
        <w:rPr>
          <w:rFonts w:hint="eastAsia"/>
          <w:szCs w:val="21"/>
        </w:rPr>
        <w:t>は、大規模</w:t>
      </w:r>
      <w:r w:rsidR="005F5EC5" w:rsidRPr="00B24E68">
        <w:rPr>
          <w:rFonts w:hint="eastAsia"/>
          <w:szCs w:val="21"/>
        </w:rPr>
        <w:t>に</w:t>
      </w:r>
      <w:r w:rsidR="00A031E5" w:rsidRPr="00B24E68">
        <w:rPr>
          <w:rFonts w:hint="eastAsia"/>
          <w:szCs w:val="21"/>
        </w:rPr>
        <w:t>残土処分</w:t>
      </w:r>
      <w:r w:rsidR="005F5EC5" w:rsidRPr="00B24E68">
        <w:rPr>
          <w:rFonts w:hint="eastAsia"/>
          <w:szCs w:val="21"/>
        </w:rPr>
        <w:t>行為が行われており、</w:t>
      </w:r>
      <w:r w:rsidR="00BC6BA2" w:rsidRPr="00B24E68">
        <w:rPr>
          <w:rFonts w:hint="eastAsia"/>
          <w:szCs w:val="21"/>
        </w:rPr>
        <w:t>雑木林と棚田</w:t>
      </w:r>
      <w:r w:rsidR="002B482D">
        <w:rPr>
          <w:rFonts w:hint="eastAsia"/>
          <w:szCs w:val="21"/>
        </w:rPr>
        <w:t>からなる</w:t>
      </w:r>
      <w:r w:rsidR="00BC6BA2" w:rsidRPr="00B24E68">
        <w:rPr>
          <w:rFonts w:hint="eastAsia"/>
          <w:szCs w:val="21"/>
        </w:rPr>
        <w:t>里地里山の</w:t>
      </w:r>
      <w:r w:rsidR="002B482D">
        <w:rPr>
          <w:rFonts w:hint="eastAsia"/>
          <w:szCs w:val="21"/>
        </w:rPr>
        <w:t>自然環境</w:t>
      </w:r>
      <w:r w:rsidR="00BC6BA2" w:rsidRPr="00B24E68">
        <w:rPr>
          <w:rFonts w:hint="eastAsia"/>
          <w:szCs w:val="21"/>
        </w:rPr>
        <w:t>は急激に失われ</w:t>
      </w:r>
      <w:r w:rsidR="005F5EC5" w:rsidRPr="00B24E68">
        <w:rPr>
          <w:rFonts w:hint="eastAsia"/>
          <w:szCs w:val="21"/>
        </w:rPr>
        <w:t>つつある。</w:t>
      </w:r>
    </w:p>
    <w:p w:rsidR="00041E13" w:rsidRDefault="00722D4E" w:rsidP="00E24C7E">
      <w:pPr>
        <w:ind w:leftChars="100" w:lef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こうしたことから、</w:t>
      </w:r>
      <w:r w:rsidR="00272C15" w:rsidRPr="00B24E68">
        <w:rPr>
          <w:rFonts w:hint="eastAsia"/>
          <w:szCs w:val="21"/>
        </w:rPr>
        <w:t>本地域を</w:t>
      </w:r>
      <w:r w:rsidR="005F5EC5" w:rsidRPr="00B24E68">
        <w:rPr>
          <w:rFonts w:hint="eastAsia"/>
          <w:szCs w:val="21"/>
        </w:rPr>
        <w:t>開発</w:t>
      </w:r>
      <w:r w:rsidR="004E64A2">
        <w:rPr>
          <w:rFonts w:hint="eastAsia"/>
          <w:szCs w:val="21"/>
        </w:rPr>
        <w:t>行為</w:t>
      </w:r>
      <w:r w:rsidR="005F5EC5" w:rsidRPr="00B24E68">
        <w:rPr>
          <w:rFonts w:hint="eastAsia"/>
          <w:szCs w:val="21"/>
        </w:rPr>
        <w:t>から</w:t>
      </w:r>
      <w:r w:rsidR="00272C15" w:rsidRPr="00B24E68">
        <w:rPr>
          <w:rFonts w:hint="eastAsia"/>
          <w:szCs w:val="21"/>
        </w:rPr>
        <w:t>守り、</w:t>
      </w:r>
      <w:r w:rsidR="005F5EC5" w:rsidRPr="00B24E68">
        <w:rPr>
          <w:rFonts w:hint="eastAsia"/>
          <w:szCs w:val="21"/>
        </w:rPr>
        <w:t>隣接する</w:t>
      </w:r>
      <w:r w:rsidR="00BC6BA2" w:rsidRPr="00B24E68">
        <w:rPr>
          <w:rFonts w:hint="eastAsia"/>
          <w:szCs w:val="21"/>
        </w:rPr>
        <w:t>府立北摂自然公園</w:t>
      </w:r>
      <w:r w:rsidR="005F5EC5" w:rsidRPr="00B24E68">
        <w:rPr>
          <w:rFonts w:hint="eastAsia"/>
          <w:szCs w:val="21"/>
        </w:rPr>
        <w:t>と一体的に保全すること</w:t>
      </w:r>
      <w:r w:rsidR="003B2D15">
        <w:rPr>
          <w:rFonts w:hint="eastAsia"/>
          <w:szCs w:val="21"/>
        </w:rPr>
        <w:t>は、本来の</w:t>
      </w:r>
      <w:r w:rsidR="00770AD5">
        <w:rPr>
          <w:rFonts w:hint="eastAsia"/>
          <w:szCs w:val="21"/>
        </w:rPr>
        <w:t>里山の郷土景観を維持するとともに、</w:t>
      </w:r>
      <w:r w:rsidR="00DF2C86">
        <w:rPr>
          <w:rFonts w:hint="eastAsia"/>
          <w:szCs w:val="21"/>
        </w:rPr>
        <w:t>付近住民の生活環境を守るために</w:t>
      </w:r>
      <w:r w:rsidR="003B2D15">
        <w:rPr>
          <w:rFonts w:hint="eastAsia"/>
          <w:szCs w:val="21"/>
        </w:rPr>
        <w:t>も</w:t>
      </w:r>
      <w:r w:rsidR="001E25B7" w:rsidRPr="00B24E68">
        <w:rPr>
          <w:rFonts w:hint="eastAsia"/>
          <w:szCs w:val="21"/>
        </w:rPr>
        <w:t>重要となっている</w:t>
      </w:r>
      <w:r w:rsidR="001F0987" w:rsidRPr="00B24E68">
        <w:rPr>
          <w:rFonts w:hint="eastAsia"/>
          <w:szCs w:val="21"/>
        </w:rPr>
        <w:t>。</w:t>
      </w:r>
    </w:p>
    <w:p w:rsidR="004761A6" w:rsidRPr="00B24E68" w:rsidRDefault="000457B0" w:rsidP="00F74519">
      <w:pPr>
        <w:ind w:leftChars="200" w:left="420" w:firstLineChars="137" w:firstLine="288"/>
        <w:jc w:val="left"/>
        <w:rPr>
          <w:szCs w:val="21"/>
        </w:rPr>
      </w:pPr>
      <w:r>
        <w:rPr>
          <w:rFonts w:hint="eastAsia"/>
          <w:szCs w:val="21"/>
        </w:rPr>
        <w:t xml:space="preserve">　　　</w:t>
      </w:r>
      <w:r w:rsidR="00845E5A">
        <w:rPr>
          <w:rFonts w:hint="eastAsia"/>
          <w:szCs w:val="21"/>
        </w:rPr>
        <w:t xml:space="preserve">　　　</w:t>
      </w:r>
    </w:p>
    <w:p w:rsidR="004761A6" w:rsidRPr="00B24E68" w:rsidRDefault="004761A6" w:rsidP="00A73AF0">
      <w:pPr>
        <w:jc w:val="left"/>
        <w:rPr>
          <w:szCs w:val="21"/>
        </w:rPr>
      </w:pPr>
      <w:r w:rsidRPr="00B24E68">
        <w:rPr>
          <w:rFonts w:hint="eastAsia"/>
          <w:szCs w:val="21"/>
        </w:rPr>
        <w:t>（２）</w:t>
      </w:r>
      <w:r w:rsidR="00D96B05" w:rsidRPr="00B24E68">
        <w:rPr>
          <w:rFonts w:hint="eastAsia"/>
          <w:szCs w:val="21"/>
        </w:rPr>
        <w:t>法令による地域指定の状況</w:t>
      </w:r>
    </w:p>
    <w:p w:rsidR="00D96B05" w:rsidRPr="00B24E68" w:rsidRDefault="00D96B05" w:rsidP="00A10AAA">
      <w:pPr>
        <w:ind w:leftChars="100" w:left="210" w:firstLineChars="100" w:firstLine="210"/>
        <w:jc w:val="left"/>
        <w:rPr>
          <w:szCs w:val="21"/>
        </w:rPr>
      </w:pPr>
      <w:r w:rsidRPr="00B24E68">
        <w:rPr>
          <w:rFonts w:hint="eastAsia"/>
          <w:szCs w:val="21"/>
        </w:rPr>
        <w:t>森林法第５条</w:t>
      </w:r>
      <w:r w:rsidR="00C618F0">
        <w:rPr>
          <w:rFonts w:hint="eastAsia"/>
          <w:szCs w:val="21"/>
        </w:rPr>
        <w:t>の規定による</w:t>
      </w:r>
      <w:r w:rsidRPr="00B24E68">
        <w:rPr>
          <w:rFonts w:hint="eastAsia"/>
          <w:szCs w:val="21"/>
        </w:rPr>
        <w:t>地域森林計画対象民有林</w:t>
      </w:r>
      <w:r w:rsidR="006B2820" w:rsidRPr="00B24E68">
        <w:rPr>
          <w:rFonts w:hint="eastAsia"/>
          <w:szCs w:val="21"/>
        </w:rPr>
        <w:t>、</w:t>
      </w:r>
      <w:r w:rsidR="001F0987" w:rsidRPr="00B24E68">
        <w:rPr>
          <w:rFonts w:hint="eastAsia"/>
          <w:szCs w:val="21"/>
        </w:rPr>
        <w:t>近畿圏の保全区域の整備に関する法律</w:t>
      </w:r>
      <w:r w:rsidR="00C618F0">
        <w:rPr>
          <w:rFonts w:hint="eastAsia"/>
          <w:szCs w:val="21"/>
        </w:rPr>
        <w:t>第５条の規定による</w:t>
      </w:r>
      <w:r w:rsidR="006B2820" w:rsidRPr="00B24E68">
        <w:rPr>
          <w:rFonts w:hint="eastAsia"/>
          <w:szCs w:val="21"/>
        </w:rPr>
        <w:t>近郊緑地保全区域に指定されている。</w:t>
      </w:r>
    </w:p>
    <w:p w:rsidR="00525594" w:rsidRPr="00B24E68" w:rsidRDefault="00525594" w:rsidP="00A73AF0">
      <w:pPr>
        <w:jc w:val="left"/>
        <w:rPr>
          <w:szCs w:val="21"/>
        </w:rPr>
      </w:pPr>
    </w:p>
    <w:p w:rsidR="001E25B7" w:rsidRPr="00B24E68" w:rsidRDefault="00D96B05" w:rsidP="00B24E68">
      <w:pPr>
        <w:jc w:val="left"/>
        <w:rPr>
          <w:szCs w:val="21"/>
        </w:rPr>
      </w:pPr>
      <w:r w:rsidRPr="00B24E68">
        <w:rPr>
          <w:rFonts w:hint="eastAsia"/>
          <w:szCs w:val="21"/>
        </w:rPr>
        <w:t>（３）保全に関する方針</w:t>
      </w:r>
      <w:r w:rsidR="00CA78BD" w:rsidRPr="00B24E68">
        <w:rPr>
          <w:rFonts w:hint="eastAsia"/>
          <w:szCs w:val="21"/>
        </w:rPr>
        <w:t xml:space="preserve">　</w:t>
      </w:r>
      <w:r w:rsidR="00272C15" w:rsidRPr="00B24E68">
        <w:rPr>
          <w:rFonts w:hint="eastAsia"/>
          <w:szCs w:val="21"/>
        </w:rPr>
        <w:t xml:space="preserve">　</w:t>
      </w:r>
      <w:r w:rsidR="006B2820" w:rsidRPr="00B24E68">
        <w:rPr>
          <w:rFonts w:hint="eastAsia"/>
          <w:szCs w:val="21"/>
        </w:rPr>
        <w:t xml:space="preserve">　</w:t>
      </w:r>
    </w:p>
    <w:p w:rsidR="00747ACC" w:rsidRDefault="00C618F0" w:rsidP="00A10AAA">
      <w:pPr>
        <w:ind w:leftChars="100" w:left="210" w:firstLineChars="100" w:firstLine="210"/>
        <w:jc w:val="left"/>
        <w:rPr>
          <w:szCs w:val="21"/>
        </w:rPr>
      </w:pPr>
      <w:r w:rsidRPr="005F0888">
        <w:rPr>
          <w:rFonts w:hint="eastAsia"/>
          <w:szCs w:val="21"/>
        </w:rPr>
        <w:t>本地域の保護・保全を</w:t>
      </w:r>
      <w:r w:rsidR="00F74519" w:rsidRPr="005F0888">
        <w:rPr>
          <w:rFonts w:hint="eastAsia"/>
          <w:szCs w:val="21"/>
        </w:rPr>
        <w:t>地域</w:t>
      </w:r>
      <w:r w:rsidRPr="005F0888">
        <w:rPr>
          <w:rFonts w:hint="eastAsia"/>
          <w:szCs w:val="21"/>
        </w:rPr>
        <w:t>住民</w:t>
      </w:r>
      <w:r w:rsidR="00F74519" w:rsidRPr="005F0888">
        <w:rPr>
          <w:rFonts w:hint="eastAsia"/>
          <w:szCs w:val="21"/>
        </w:rPr>
        <w:t>と一体となって</w:t>
      </w:r>
      <w:r w:rsidRPr="005F0888">
        <w:rPr>
          <w:rFonts w:hint="eastAsia"/>
          <w:szCs w:val="21"/>
        </w:rPr>
        <w:t>推進するとともに</w:t>
      </w:r>
      <w:r w:rsidR="000D354F" w:rsidRPr="005F0888">
        <w:rPr>
          <w:rFonts w:hint="eastAsia"/>
          <w:szCs w:val="21"/>
        </w:rPr>
        <w:t>、府民に</w:t>
      </w:r>
      <w:r w:rsidRPr="005F0888">
        <w:rPr>
          <w:rFonts w:hint="eastAsia"/>
          <w:szCs w:val="21"/>
        </w:rPr>
        <w:t>対して</w:t>
      </w:r>
      <w:r w:rsidR="000D354F" w:rsidRPr="005F0888">
        <w:rPr>
          <w:rFonts w:hint="eastAsia"/>
          <w:szCs w:val="21"/>
        </w:rPr>
        <w:t>自然環境</w:t>
      </w:r>
      <w:r w:rsidR="00B24E68" w:rsidRPr="005F0888">
        <w:rPr>
          <w:rFonts w:hint="eastAsia"/>
          <w:szCs w:val="21"/>
        </w:rPr>
        <w:t>の</w:t>
      </w:r>
      <w:r w:rsidR="000D354F" w:rsidRPr="005F0888">
        <w:rPr>
          <w:rFonts w:hint="eastAsia"/>
          <w:szCs w:val="21"/>
        </w:rPr>
        <w:t>保全の意識を啓発する</w:t>
      </w:r>
      <w:r w:rsidR="00F74519" w:rsidRPr="005F0888">
        <w:rPr>
          <w:rFonts w:hint="eastAsia"/>
          <w:szCs w:val="21"/>
        </w:rPr>
        <w:t>ため、標識</w:t>
      </w:r>
      <w:r w:rsidR="007971E3" w:rsidRPr="005F0888">
        <w:rPr>
          <w:rFonts w:hint="eastAsia"/>
          <w:szCs w:val="21"/>
        </w:rPr>
        <w:t>の</w:t>
      </w:r>
      <w:r w:rsidR="007D40BB" w:rsidRPr="005F0888">
        <w:rPr>
          <w:rFonts w:hint="eastAsia"/>
          <w:szCs w:val="21"/>
        </w:rPr>
        <w:t>設置など</w:t>
      </w:r>
      <w:r w:rsidR="007971E3" w:rsidRPr="005F0888">
        <w:rPr>
          <w:rFonts w:hint="eastAsia"/>
          <w:szCs w:val="21"/>
        </w:rPr>
        <w:t>必要な</w:t>
      </w:r>
      <w:r w:rsidR="00F74519" w:rsidRPr="005F0888">
        <w:rPr>
          <w:rFonts w:hint="eastAsia"/>
          <w:szCs w:val="21"/>
        </w:rPr>
        <w:t>方策を講じる</w:t>
      </w:r>
      <w:r w:rsidRPr="005F0888">
        <w:rPr>
          <w:rFonts w:hint="eastAsia"/>
          <w:szCs w:val="21"/>
        </w:rPr>
        <w:t>。</w:t>
      </w:r>
    </w:p>
    <w:p w:rsidR="00B0434E" w:rsidRPr="005F0888" w:rsidRDefault="00210A65" w:rsidP="00A10AAA">
      <w:pPr>
        <w:ind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また、北摂地域で被害が広がりつつある</w:t>
      </w:r>
      <w:r w:rsidR="006230BA">
        <w:rPr>
          <w:rFonts w:hint="eastAsia"/>
          <w:szCs w:val="21"/>
        </w:rPr>
        <w:t>ナラ枯れや、マツ枯れ</w:t>
      </w:r>
      <w:r>
        <w:rPr>
          <w:rFonts w:hint="eastAsia"/>
          <w:szCs w:val="21"/>
        </w:rPr>
        <w:t>の被害に対し対策を講じる。</w:t>
      </w:r>
    </w:p>
    <w:p w:rsidR="005F7387" w:rsidRDefault="005F7387" w:rsidP="00B24E68">
      <w:pPr>
        <w:ind w:leftChars="300" w:left="840" w:hangingChars="100" w:hanging="210"/>
        <w:jc w:val="left"/>
        <w:rPr>
          <w:szCs w:val="21"/>
        </w:rPr>
      </w:pPr>
    </w:p>
    <w:p w:rsidR="00F74519" w:rsidRPr="00210A65" w:rsidRDefault="00F74519" w:rsidP="00B24E68">
      <w:pPr>
        <w:ind w:leftChars="300" w:left="840" w:hangingChars="100" w:hanging="210"/>
        <w:jc w:val="left"/>
        <w:rPr>
          <w:szCs w:val="21"/>
        </w:rPr>
      </w:pPr>
    </w:p>
    <w:p w:rsidR="001E25B7" w:rsidRPr="00B24E68" w:rsidRDefault="00A10AAA" w:rsidP="007C7C46">
      <w:pPr>
        <w:ind w:left="840" w:hangingChars="400" w:hanging="840"/>
        <w:jc w:val="left"/>
        <w:rPr>
          <w:szCs w:val="21"/>
        </w:rPr>
      </w:pPr>
      <w:r>
        <w:rPr>
          <w:rFonts w:hint="eastAsia"/>
          <w:szCs w:val="21"/>
        </w:rPr>
        <w:t xml:space="preserve">２　</w:t>
      </w:r>
      <w:r w:rsidR="001E25B7" w:rsidRPr="00B24E68">
        <w:rPr>
          <w:rFonts w:hint="eastAsia"/>
          <w:szCs w:val="21"/>
        </w:rPr>
        <w:t>保全のための規制に関する事項</w:t>
      </w:r>
    </w:p>
    <w:p w:rsidR="001E25B7" w:rsidRPr="00B24E68" w:rsidRDefault="001E25B7" w:rsidP="00A10AAA">
      <w:pPr>
        <w:ind w:leftChars="100" w:left="210" w:firstLineChars="100" w:firstLine="210"/>
        <w:jc w:val="left"/>
        <w:rPr>
          <w:szCs w:val="21"/>
        </w:rPr>
      </w:pPr>
      <w:r w:rsidRPr="00B24E68">
        <w:rPr>
          <w:rFonts w:hint="eastAsia"/>
          <w:szCs w:val="21"/>
        </w:rPr>
        <w:t>条例第１６条第</w:t>
      </w:r>
      <w:r w:rsidR="00F24FD9">
        <w:rPr>
          <w:rFonts w:hint="eastAsia"/>
          <w:szCs w:val="21"/>
        </w:rPr>
        <w:t>４項に規定する第１８条第１項の許可を受けないで行うことができる</w:t>
      </w:r>
      <w:r w:rsidRPr="00B24E68">
        <w:rPr>
          <w:rFonts w:hint="eastAsia"/>
          <w:szCs w:val="21"/>
        </w:rPr>
        <w:t>木竹の伐採の方法及びその限度は次のとおりとする。</w:t>
      </w:r>
    </w:p>
    <w:tbl>
      <w:tblPr>
        <w:tblStyle w:val="a9"/>
        <w:tblpPr w:leftFromText="142" w:rightFromText="142" w:vertAnchor="text" w:tblpX="392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3544"/>
        <w:gridCol w:w="992"/>
        <w:gridCol w:w="1843"/>
      </w:tblGrid>
      <w:tr w:rsidR="001E25B7" w:rsidRPr="00B24E68" w:rsidTr="00F21651">
        <w:tc>
          <w:tcPr>
            <w:tcW w:w="2376" w:type="dxa"/>
          </w:tcPr>
          <w:p w:rsidR="001E25B7" w:rsidRPr="00B24E68" w:rsidRDefault="001E25B7" w:rsidP="00F21651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 xml:space="preserve">区　</w:t>
            </w:r>
            <w:r w:rsidR="00F21651">
              <w:rPr>
                <w:rFonts w:hint="eastAsia"/>
                <w:szCs w:val="21"/>
              </w:rPr>
              <w:t xml:space="preserve">　　</w:t>
            </w:r>
            <w:r w:rsidRPr="00B24E68">
              <w:rPr>
                <w:rFonts w:hint="eastAsia"/>
                <w:szCs w:val="21"/>
              </w:rPr>
              <w:t>域</w:t>
            </w:r>
          </w:p>
        </w:tc>
        <w:tc>
          <w:tcPr>
            <w:tcW w:w="3544" w:type="dxa"/>
          </w:tcPr>
          <w:p w:rsidR="001E25B7" w:rsidRPr="00B24E68" w:rsidRDefault="001E25B7" w:rsidP="00F21651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伐採の方法及びその限度</w:t>
            </w:r>
          </w:p>
        </w:tc>
        <w:tc>
          <w:tcPr>
            <w:tcW w:w="992" w:type="dxa"/>
          </w:tcPr>
          <w:p w:rsidR="001E25B7" w:rsidRPr="00B24E68" w:rsidRDefault="001E25B7" w:rsidP="00F21651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面積</w:t>
            </w:r>
          </w:p>
        </w:tc>
        <w:tc>
          <w:tcPr>
            <w:tcW w:w="1843" w:type="dxa"/>
          </w:tcPr>
          <w:p w:rsidR="001E25B7" w:rsidRPr="00B24E68" w:rsidRDefault="001E25B7" w:rsidP="00F21651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土地所有別面積</w:t>
            </w:r>
          </w:p>
        </w:tc>
      </w:tr>
      <w:tr w:rsidR="001E25B7" w:rsidRPr="00B24E68" w:rsidTr="00A10AAA">
        <w:trPr>
          <w:trHeight w:val="1127"/>
        </w:trPr>
        <w:tc>
          <w:tcPr>
            <w:tcW w:w="2376" w:type="dxa"/>
            <w:vAlign w:val="center"/>
          </w:tcPr>
          <w:p w:rsidR="001E25B7" w:rsidRPr="00B24E68" w:rsidRDefault="001E25B7" w:rsidP="00A10AAA">
            <w:pPr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大阪府豊能郡豊能町</w:t>
            </w:r>
          </w:p>
          <w:p w:rsidR="001E25B7" w:rsidRPr="00B24E68" w:rsidRDefault="001E25B7" w:rsidP="00A10AAA">
            <w:pPr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木代の一部</w:t>
            </w:r>
          </w:p>
        </w:tc>
        <w:tc>
          <w:tcPr>
            <w:tcW w:w="3544" w:type="dxa"/>
          </w:tcPr>
          <w:p w:rsidR="00F9276F" w:rsidRDefault="00F9276F" w:rsidP="00F9276F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1E25B7" w:rsidRPr="00B24E68">
              <w:rPr>
                <w:rFonts w:hint="eastAsia"/>
                <w:szCs w:val="21"/>
              </w:rPr>
              <w:t>択伐</w:t>
            </w:r>
          </w:p>
          <w:p w:rsidR="001E25B7" w:rsidRPr="00B24E68" w:rsidRDefault="00F9276F" w:rsidP="00A10AAA">
            <w:pPr>
              <w:ind w:left="210" w:hangingChars="100" w:hanging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F21651">
              <w:rPr>
                <w:rFonts w:hint="eastAsia"/>
                <w:szCs w:val="21"/>
              </w:rPr>
              <w:t>択伐率</w:t>
            </w:r>
            <w:r>
              <w:rPr>
                <w:rFonts w:hint="eastAsia"/>
                <w:szCs w:val="21"/>
              </w:rPr>
              <w:t>は</w:t>
            </w:r>
            <w:r w:rsidR="00F21651">
              <w:rPr>
                <w:rFonts w:hint="eastAsia"/>
                <w:szCs w:val="21"/>
              </w:rPr>
              <w:t>現在蓄積の</w:t>
            </w:r>
            <w:r w:rsidR="00F21651">
              <w:rPr>
                <w:rFonts w:hint="eastAsia"/>
                <w:szCs w:val="21"/>
              </w:rPr>
              <w:t>30</w:t>
            </w:r>
            <w:r w:rsidR="001E25B7" w:rsidRPr="00B24E68">
              <w:rPr>
                <w:rFonts w:hint="eastAsia"/>
                <w:szCs w:val="21"/>
              </w:rPr>
              <w:t>％以内</w:t>
            </w:r>
            <w:r>
              <w:rPr>
                <w:rFonts w:hint="eastAsia"/>
                <w:szCs w:val="21"/>
              </w:rPr>
              <w:t>とする</w:t>
            </w:r>
            <w:r w:rsidR="001E25B7" w:rsidRPr="00B24E68">
              <w:rPr>
                <w:rFonts w:hint="eastAsia"/>
                <w:szCs w:val="21"/>
              </w:rPr>
              <w:t>。</w:t>
            </w:r>
          </w:p>
        </w:tc>
        <w:tc>
          <w:tcPr>
            <w:tcW w:w="992" w:type="dxa"/>
          </w:tcPr>
          <w:p w:rsidR="001E25B7" w:rsidRPr="00B24E68" w:rsidRDefault="001E25B7" w:rsidP="007C7C46">
            <w:pPr>
              <w:jc w:val="left"/>
              <w:rPr>
                <w:szCs w:val="21"/>
              </w:rPr>
            </w:pPr>
          </w:p>
          <w:p w:rsidR="001E25B7" w:rsidRPr="00B24E68" w:rsidRDefault="005241B9" w:rsidP="0049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 w:rsidR="004966C7">
              <w:rPr>
                <w:rFonts w:hint="eastAsia"/>
                <w:szCs w:val="21"/>
              </w:rPr>
              <w:t>78</w:t>
            </w:r>
            <w:r w:rsidR="00F21651">
              <w:rPr>
                <w:rFonts w:hint="eastAsia"/>
                <w:szCs w:val="21"/>
              </w:rPr>
              <w:t>h</w:t>
            </w:r>
            <w:r w:rsidR="001E25B7" w:rsidRPr="00B24E68">
              <w:rPr>
                <w:rFonts w:hint="eastAsia"/>
                <w:szCs w:val="21"/>
              </w:rPr>
              <w:t>a</w:t>
            </w:r>
          </w:p>
        </w:tc>
        <w:tc>
          <w:tcPr>
            <w:tcW w:w="1843" w:type="dxa"/>
          </w:tcPr>
          <w:p w:rsidR="001E25B7" w:rsidRPr="00B24E68" w:rsidRDefault="001E25B7" w:rsidP="007C7C46">
            <w:pPr>
              <w:jc w:val="left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 xml:space="preserve"> </w:t>
            </w:r>
            <w:r w:rsidRPr="00B24E68">
              <w:rPr>
                <w:rFonts w:hint="eastAsia"/>
                <w:szCs w:val="21"/>
              </w:rPr>
              <w:t>民有地</w:t>
            </w:r>
          </w:p>
          <w:p w:rsidR="001E25B7" w:rsidRPr="00B24E68" w:rsidRDefault="00C618F0" w:rsidP="004966C7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5241B9">
              <w:rPr>
                <w:rFonts w:hint="eastAsia"/>
                <w:szCs w:val="21"/>
              </w:rPr>
              <w:t>4.</w:t>
            </w:r>
            <w:r w:rsidR="004966C7">
              <w:rPr>
                <w:rFonts w:hint="eastAsia"/>
                <w:szCs w:val="21"/>
              </w:rPr>
              <w:t>78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ha</w:t>
            </w:r>
          </w:p>
        </w:tc>
      </w:tr>
    </w:tbl>
    <w:p w:rsidR="00B24E68" w:rsidRDefault="00B24E68" w:rsidP="00A73AF0">
      <w:pPr>
        <w:jc w:val="left"/>
        <w:rPr>
          <w:szCs w:val="21"/>
        </w:rPr>
      </w:pPr>
    </w:p>
    <w:p w:rsidR="00CA78BD" w:rsidRPr="00B24E68" w:rsidRDefault="00A10AAA" w:rsidP="00A73AF0">
      <w:pPr>
        <w:jc w:val="left"/>
        <w:rPr>
          <w:szCs w:val="21"/>
        </w:rPr>
      </w:pPr>
      <w:r>
        <w:rPr>
          <w:rFonts w:hint="eastAsia"/>
          <w:szCs w:val="21"/>
        </w:rPr>
        <w:t xml:space="preserve">３　</w:t>
      </w:r>
      <w:r w:rsidR="00893E4A" w:rsidRPr="00B24E68">
        <w:rPr>
          <w:rFonts w:hint="eastAsia"/>
          <w:szCs w:val="21"/>
        </w:rPr>
        <w:t>保全のための施設に関する事項</w:t>
      </w:r>
    </w:p>
    <w:p w:rsidR="00893E4A" w:rsidRPr="00B24E68" w:rsidRDefault="00893E4A" w:rsidP="00A73AF0">
      <w:pPr>
        <w:jc w:val="left"/>
        <w:rPr>
          <w:szCs w:val="21"/>
        </w:rPr>
      </w:pPr>
      <w:r w:rsidRPr="00B24E68">
        <w:rPr>
          <w:rFonts w:hint="eastAsia"/>
          <w:szCs w:val="21"/>
        </w:rPr>
        <w:t xml:space="preserve">　　</w:t>
      </w:r>
      <w:r w:rsidR="00A10AAA">
        <w:rPr>
          <w:rFonts w:hint="eastAsia"/>
          <w:szCs w:val="21"/>
        </w:rPr>
        <w:t>保全施設は次</w:t>
      </w:r>
      <w:r w:rsidRPr="00B24E68">
        <w:rPr>
          <w:rFonts w:hint="eastAsia"/>
          <w:szCs w:val="21"/>
        </w:rPr>
        <w:t>のとおりとする。</w:t>
      </w:r>
    </w:p>
    <w:tbl>
      <w:tblPr>
        <w:tblStyle w:val="a9"/>
        <w:tblpPr w:leftFromText="142" w:rightFromText="142" w:vertAnchor="text" w:horzAnchor="margin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125"/>
        <w:gridCol w:w="2126"/>
      </w:tblGrid>
      <w:tr w:rsidR="00893E4A" w:rsidRPr="00B24E68" w:rsidTr="000457B0">
        <w:tc>
          <w:tcPr>
            <w:tcW w:w="1882" w:type="dxa"/>
          </w:tcPr>
          <w:p w:rsidR="00893E4A" w:rsidRPr="00B24E68" w:rsidRDefault="00893E4A" w:rsidP="00A10AAA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施設の名称、種類</w:t>
            </w:r>
          </w:p>
        </w:tc>
        <w:tc>
          <w:tcPr>
            <w:tcW w:w="1882" w:type="dxa"/>
          </w:tcPr>
          <w:p w:rsidR="00893E4A" w:rsidRPr="00B24E68" w:rsidRDefault="00893E4A" w:rsidP="00A10AAA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位　　置</w:t>
            </w:r>
          </w:p>
        </w:tc>
        <w:tc>
          <w:tcPr>
            <w:tcW w:w="1882" w:type="dxa"/>
          </w:tcPr>
          <w:p w:rsidR="00893E4A" w:rsidRPr="00B24E68" w:rsidRDefault="00893E4A" w:rsidP="00A10AAA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規模・構造</w:t>
            </w:r>
          </w:p>
        </w:tc>
        <w:tc>
          <w:tcPr>
            <w:tcW w:w="1125" w:type="dxa"/>
          </w:tcPr>
          <w:p w:rsidR="00893E4A" w:rsidRPr="00B24E68" w:rsidRDefault="00893E4A" w:rsidP="00A10AAA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工種</w:t>
            </w:r>
          </w:p>
        </w:tc>
        <w:tc>
          <w:tcPr>
            <w:tcW w:w="2126" w:type="dxa"/>
          </w:tcPr>
          <w:p w:rsidR="00893E4A" w:rsidRPr="00B24E68" w:rsidRDefault="00893E4A" w:rsidP="00A10AAA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摘　要</w:t>
            </w:r>
          </w:p>
        </w:tc>
      </w:tr>
      <w:tr w:rsidR="00893E4A" w:rsidRPr="00B24E68" w:rsidTr="00A10AAA">
        <w:tc>
          <w:tcPr>
            <w:tcW w:w="1882" w:type="dxa"/>
            <w:vAlign w:val="center"/>
          </w:tcPr>
          <w:p w:rsidR="00893E4A" w:rsidRPr="00B24E68" w:rsidRDefault="00893E4A" w:rsidP="00A10AAA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標　　識</w:t>
            </w:r>
          </w:p>
        </w:tc>
        <w:tc>
          <w:tcPr>
            <w:tcW w:w="1882" w:type="dxa"/>
            <w:vAlign w:val="center"/>
          </w:tcPr>
          <w:p w:rsidR="00893E4A" w:rsidRPr="00B24E68" w:rsidRDefault="00F9276F" w:rsidP="00A10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図面（別紙３）のとおり</w:t>
            </w:r>
          </w:p>
        </w:tc>
        <w:tc>
          <w:tcPr>
            <w:tcW w:w="1882" w:type="dxa"/>
            <w:vAlign w:val="center"/>
          </w:tcPr>
          <w:p w:rsidR="00C618F0" w:rsidRPr="00B24E68" w:rsidRDefault="00F74519" w:rsidP="00A10A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  <w:r w:rsidR="00C618F0">
              <w:rPr>
                <w:rFonts w:hint="eastAsia"/>
                <w:szCs w:val="21"/>
              </w:rPr>
              <w:t>箇所</w:t>
            </w:r>
          </w:p>
        </w:tc>
        <w:tc>
          <w:tcPr>
            <w:tcW w:w="1125" w:type="dxa"/>
            <w:vAlign w:val="center"/>
          </w:tcPr>
          <w:p w:rsidR="00893E4A" w:rsidRPr="00B24E68" w:rsidRDefault="00B24E68" w:rsidP="00A10AAA">
            <w:pPr>
              <w:ind w:firstLineChars="100" w:firstLine="210"/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新設</w:t>
            </w:r>
          </w:p>
        </w:tc>
        <w:tc>
          <w:tcPr>
            <w:tcW w:w="2126" w:type="dxa"/>
            <w:vAlign w:val="center"/>
          </w:tcPr>
          <w:p w:rsidR="00893E4A" w:rsidRPr="00B24E68" w:rsidRDefault="00B24E68" w:rsidP="00A10AAA">
            <w:pPr>
              <w:jc w:val="center"/>
              <w:rPr>
                <w:szCs w:val="21"/>
              </w:rPr>
            </w:pPr>
            <w:r w:rsidRPr="00B24E68">
              <w:rPr>
                <w:rFonts w:hint="eastAsia"/>
                <w:szCs w:val="21"/>
              </w:rPr>
              <w:t>制札、</w:t>
            </w:r>
            <w:r w:rsidR="00C618F0">
              <w:rPr>
                <w:rFonts w:hint="eastAsia"/>
                <w:szCs w:val="21"/>
              </w:rPr>
              <w:t>啓発標識</w:t>
            </w:r>
          </w:p>
        </w:tc>
      </w:tr>
    </w:tbl>
    <w:p w:rsidR="00312B71" w:rsidRDefault="00312B71" w:rsidP="00753C74">
      <w:pPr>
        <w:jc w:val="left"/>
        <w:rPr>
          <w:szCs w:val="21"/>
        </w:rPr>
      </w:pPr>
    </w:p>
    <w:p w:rsidR="00312B71" w:rsidRDefault="00312B71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312B71" w:rsidRDefault="00312B71" w:rsidP="00312B71">
      <w:pPr>
        <w:widowControl/>
        <w:jc w:val="left"/>
        <w:rPr>
          <w:rFonts w:hint="eastAsia"/>
          <w:szCs w:val="21"/>
        </w:rPr>
      </w:pPr>
    </w:p>
    <w:p w:rsidR="00312B71" w:rsidRDefault="00312B71" w:rsidP="00312B71">
      <w:pPr>
        <w:widowControl/>
        <w:jc w:val="left"/>
        <w:rPr>
          <w:rFonts w:hint="eastAsia"/>
          <w:szCs w:val="21"/>
        </w:rPr>
      </w:pPr>
    </w:p>
    <w:p w:rsidR="00893E4A" w:rsidRPr="00B24E68" w:rsidRDefault="00312B71" w:rsidP="00312B71">
      <w:pPr>
        <w:widowControl/>
        <w:jc w:val="left"/>
        <w:rPr>
          <w:szCs w:val="21"/>
        </w:rPr>
      </w:pPr>
      <w:bookmarkStart w:id="0" w:name="_GoBack"/>
      <w:bookmarkEnd w:id="0"/>
      <w:r>
        <w:rPr>
          <w:noProof/>
          <w:szCs w:val="21"/>
        </w:rPr>
        <w:drawing>
          <wp:inline distT="0" distB="0" distL="0" distR="0">
            <wp:extent cx="5759450" cy="8146415"/>
            <wp:effectExtent l="0" t="0" r="0" b="698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ssi-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14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E4A" w:rsidRPr="00B24E68" w:rsidSect="006D57F2">
      <w:headerReference w:type="default" r:id="rId9"/>
      <w:pgSz w:w="11906" w:h="16838" w:code="9"/>
      <w:pgMar w:top="1134" w:right="1418" w:bottom="39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60F" w:rsidRDefault="00B0660F" w:rsidP="00023B46">
      <w:r>
        <w:separator/>
      </w:r>
    </w:p>
  </w:endnote>
  <w:endnote w:type="continuationSeparator" w:id="0">
    <w:p w:rsidR="00B0660F" w:rsidRDefault="00B0660F" w:rsidP="00023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60F" w:rsidRDefault="00B0660F" w:rsidP="00023B46">
      <w:r>
        <w:separator/>
      </w:r>
    </w:p>
  </w:footnote>
  <w:footnote w:type="continuationSeparator" w:id="0">
    <w:p w:rsidR="00B0660F" w:rsidRDefault="00B0660F" w:rsidP="00023B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6FFF" w:rsidRPr="00B06FFF" w:rsidRDefault="00B06FFF" w:rsidP="00B06FFF">
    <w:pPr>
      <w:pStyle w:val="a3"/>
      <w:jc w:val="right"/>
      <w:rPr>
        <w:rFonts w:asciiTheme="majorEastAsia" w:eastAsiaTheme="majorEastAsia" w:hAnsiTheme="majorEastAsia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6D3"/>
    <w:rsid w:val="00014910"/>
    <w:rsid w:val="00016422"/>
    <w:rsid w:val="00021064"/>
    <w:rsid w:val="00023B46"/>
    <w:rsid w:val="0002498A"/>
    <w:rsid w:val="0002553E"/>
    <w:rsid w:val="0003295F"/>
    <w:rsid w:val="00041454"/>
    <w:rsid w:val="00041E13"/>
    <w:rsid w:val="00044C9B"/>
    <w:rsid w:val="000457B0"/>
    <w:rsid w:val="000463E0"/>
    <w:rsid w:val="00055FBA"/>
    <w:rsid w:val="00062B7E"/>
    <w:rsid w:val="00065EAC"/>
    <w:rsid w:val="00066F41"/>
    <w:rsid w:val="00083B60"/>
    <w:rsid w:val="00084273"/>
    <w:rsid w:val="000B2F2A"/>
    <w:rsid w:val="000B7DB1"/>
    <w:rsid w:val="000C487A"/>
    <w:rsid w:val="000D2821"/>
    <w:rsid w:val="000D354F"/>
    <w:rsid w:val="000E185D"/>
    <w:rsid w:val="000E6AB7"/>
    <w:rsid w:val="000F1241"/>
    <w:rsid w:val="000F1A5C"/>
    <w:rsid w:val="001046D3"/>
    <w:rsid w:val="00113AA4"/>
    <w:rsid w:val="0014671C"/>
    <w:rsid w:val="00165F9B"/>
    <w:rsid w:val="0017305D"/>
    <w:rsid w:val="00175D3F"/>
    <w:rsid w:val="00175E59"/>
    <w:rsid w:val="00180D1F"/>
    <w:rsid w:val="00191650"/>
    <w:rsid w:val="0019546F"/>
    <w:rsid w:val="001A09C6"/>
    <w:rsid w:val="001B198F"/>
    <w:rsid w:val="001C1A46"/>
    <w:rsid w:val="001E25B7"/>
    <w:rsid w:val="001F0987"/>
    <w:rsid w:val="001F2A34"/>
    <w:rsid w:val="002027D7"/>
    <w:rsid w:val="00210A65"/>
    <w:rsid w:val="00227FA1"/>
    <w:rsid w:val="00255163"/>
    <w:rsid w:val="00272C15"/>
    <w:rsid w:val="00297A92"/>
    <w:rsid w:val="002A67B4"/>
    <w:rsid w:val="002B232B"/>
    <w:rsid w:val="002B264C"/>
    <w:rsid w:val="002B482D"/>
    <w:rsid w:val="002C0022"/>
    <w:rsid w:val="002C016B"/>
    <w:rsid w:val="002C0890"/>
    <w:rsid w:val="002D2AF3"/>
    <w:rsid w:val="002E4F50"/>
    <w:rsid w:val="00301833"/>
    <w:rsid w:val="003047C8"/>
    <w:rsid w:val="00312B71"/>
    <w:rsid w:val="0031380F"/>
    <w:rsid w:val="00314087"/>
    <w:rsid w:val="003240FA"/>
    <w:rsid w:val="00332E8E"/>
    <w:rsid w:val="00335049"/>
    <w:rsid w:val="003403FF"/>
    <w:rsid w:val="003424C6"/>
    <w:rsid w:val="0036761C"/>
    <w:rsid w:val="00374DBE"/>
    <w:rsid w:val="003764CF"/>
    <w:rsid w:val="003870B3"/>
    <w:rsid w:val="003A2126"/>
    <w:rsid w:val="003A3C85"/>
    <w:rsid w:val="003B2D15"/>
    <w:rsid w:val="003B73DE"/>
    <w:rsid w:val="003C2C71"/>
    <w:rsid w:val="003C5272"/>
    <w:rsid w:val="00407D68"/>
    <w:rsid w:val="0043527C"/>
    <w:rsid w:val="0043647A"/>
    <w:rsid w:val="004761A6"/>
    <w:rsid w:val="00480C6E"/>
    <w:rsid w:val="00493912"/>
    <w:rsid w:val="00493FF5"/>
    <w:rsid w:val="004966C7"/>
    <w:rsid w:val="004A0578"/>
    <w:rsid w:val="004A2499"/>
    <w:rsid w:val="004B3949"/>
    <w:rsid w:val="004C614F"/>
    <w:rsid w:val="004E1754"/>
    <w:rsid w:val="004E5BAD"/>
    <w:rsid w:val="004E64A2"/>
    <w:rsid w:val="004E65D0"/>
    <w:rsid w:val="00502998"/>
    <w:rsid w:val="005069C5"/>
    <w:rsid w:val="005241B9"/>
    <w:rsid w:val="00525594"/>
    <w:rsid w:val="00526143"/>
    <w:rsid w:val="00534D3A"/>
    <w:rsid w:val="005571E5"/>
    <w:rsid w:val="00566724"/>
    <w:rsid w:val="005716B2"/>
    <w:rsid w:val="00587E86"/>
    <w:rsid w:val="00590477"/>
    <w:rsid w:val="0059297E"/>
    <w:rsid w:val="005A07A6"/>
    <w:rsid w:val="005C484A"/>
    <w:rsid w:val="005C4C12"/>
    <w:rsid w:val="005D0ACC"/>
    <w:rsid w:val="005F0888"/>
    <w:rsid w:val="005F5EC5"/>
    <w:rsid w:val="005F7387"/>
    <w:rsid w:val="006230BA"/>
    <w:rsid w:val="006243EE"/>
    <w:rsid w:val="00627ED0"/>
    <w:rsid w:val="00635C8A"/>
    <w:rsid w:val="00652DE7"/>
    <w:rsid w:val="00665D35"/>
    <w:rsid w:val="00677FB5"/>
    <w:rsid w:val="0069626C"/>
    <w:rsid w:val="006A66AF"/>
    <w:rsid w:val="006B2820"/>
    <w:rsid w:val="006B3204"/>
    <w:rsid w:val="006C0E54"/>
    <w:rsid w:val="006D57F2"/>
    <w:rsid w:val="007038DF"/>
    <w:rsid w:val="00710B1C"/>
    <w:rsid w:val="00711DFB"/>
    <w:rsid w:val="00713DAF"/>
    <w:rsid w:val="00722D4E"/>
    <w:rsid w:val="00736A26"/>
    <w:rsid w:val="00746714"/>
    <w:rsid w:val="00747ACC"/>
    <w:rsid w:val="00753C74"/>
    <w:rsid w:val="00770AD5"/>
    <w:rsid w:val="0078647C"/>
    <w:rsid w:val="00792ACE"/>
    <w:rsid w:val="007942A7"/>
    <w:rsid w:val="007971E3"/>
    <w:rsid w:val="007A7F2E"/>
    <w:rsid w:val="007B24B3"/>
    <w:rsid w:val="007C7C46"/>
    <w:rsid w:val="007D2102"/>
    <w:rsid w:val="007D40BB"/>
    <w:rsid w:val="007D6C56"/>
    <w:rsid w:val="007F25F5"/>
    <w:rsid w:val="007F46F6"/>
    <w:rsid w:val="008153BB"/>
    <w:rsid w:val="00817A20"/>
    <w:rsid w:val="008210F4"/>
    <w:rsid w:val="00831E98"/>
    <w:rsid w:val="008403EB"/>
    <w:rsid w:val="00843DCA"/>
    <w:rsid w:val="00844BC1"/>
    <w:rsid w:val="00845E5A"/>
    <w:rsid w:val="00847964"/>
    <w:rsid w:val="00873ED2"/>
    <w:rsid w:val="00885736"/>
    <w:rsid w:val="00892A39"/>
    <w:rsid w:val="00893E4A"/>
    <w:rsid w:val="008B33EB"/>
    <w:rsid w:val="008C3F57"/>
    <w:rsid w:val="008E45EE"/>
    <w:rsid w:val="008F0C96"/>
    <w:rsid w:val="00900120"/>
    <w:rsid w:val="00902F88"/>
    <w:rsid w:val="00910E5F"/>
    <w:rsid w:val="00911E6A"/>
    <w:rsid w:val="00915AF9"/>
    <w:rsid w:val="00915E77"/>
    <w:rsid w:val="00923800"/>
    <w:rsid w:val="00930C81"/>
    <w:rsid w:val="0093530E"/>
    <w:rsid w:val="00936216"/>
    <w:rsid w:val="00940BA7"/>
    <w:rsid w:val="00944BF2"/>
    <w:rsid w:val="009531F5"/>
    <w:rsid w:val="009561F8"/>
    <w:rsid w:val="00975FD4"/>
    <w:rsid w:val="009A2257"/>
    <w:rsid w:val="009A6E49"/>
    <w:rsid w:val="009B5E56"/>
    <w:rsid w:val="009B7410"/>
    <w:rsid w:val="009C3114"/>
    <w:rsid w:val="009E25B1"/>
    <w:rsid w:val="009F3FE5"/>
    <w:rsid w:val="00A031E5"/>
    <w:rsid w:val="00A04BE7"/>
    <w:rsid w:val="00A10AAA"/>
    <w:rsid w:val="00A3380A"/>
    <w:rsid w:val="00A5264A"/>
    <w:rsid w:val="00A528BC"/>
    <w:rsid w:val="00A543C0"/>
    <w:rsid w:val="00A61D40"/>
    <w:rsid w:val="00A6237F"/>
    <w:rsid w:val="00A73AF0"/>
    <w:rsid w:val="00A753E1"/>
    <w:rsid w:val="00A81BEE"/>
    <w:rsid w:val="00AA610F"/>
    <w:rsid w:val="00AA6CBA"/>
    <w:rsid w:val="00AB5423"/>
    <w:rsid w:val="00AC64C5"/>
    <w:rsid w:val="00AD614E"/>
    <w:rsid w:val="00B02289"/>
    <w:rsid w:val="00B0434E"/>
    <w:rsid w:val="00B0660F"/>
    <w:rsid w:val="00B06FFF"/>
    <w:rsid w:val="00B14BAD"/>
    <w:rsid w:val="00B14C89"/>
    <w:rsid w:val="00B152D0"/>
    <w:rsid w:val="00B222B8"/>
    <w:rsid w:val="00B24E68"/>
    <w:rsid w:val="00B32622"/>
    <w:rsid w:val="00B35B44"/>
    <w:rsid w:val="00B721FA"/>
    <w:rsid w:val="00B81A5B"/>
    <w:rsid w:val="00B97E42"/>
    <w:rsid w:val="00BA6E6B"/>
    <w:rsid w:val="00BC6BA2"/>
    <w:rsid w:val="00BD6C7D"/>
    <w:rsid w:val="00BE1B82"/>
    <w:rsid w:val="00BE35D9"/>
    <w:rsid w:val="00C01F4B"/>
    <w:rsid w:val="00C073C7"/>
    <w:rsid w:val="00C220B3"/>
    <w:rsid w:val="00C265A1"/>
    <w:rsid w:val="00C307A2"/>
    <w:rsid w:val="00C440EF"/>
    <w:rsid w:val="00C6071C"/>
    <w:rsid w:val="00C618F0"/>
    <w:rsid w:val="00C62AA6"/>
    <w:rsid w:val="00C77DB6"/>
    <w:rsid w:val="00C8408B"/>
    <w:rsid w:val="00C93E60"/>
    <w:rsid w:val="00C94162"/>
    <w:rsid w:val="00C9722C"/>
    <w:rsid w:val="00CA4937"/>
    <w:rsid w:val="00CA78BD"/>
    <w:rsid w:val="00CB34CF"/>
    <w:rsid w:val="00CB3681"/>
    <w:rsid w:val="00CB712D"/>
    <w:rsid w:val="00CE14F2"/>
    <w:rsid w:val="00CF1FDA"/>
    <w:rsid w:val="00CF4C3B"/>
    <w:rsid w:val="00D02D68"/>
    <w:rsid w:val="00D02FE3"/>
    <w:rsid w:val="00D07506"/>
    <w:rsid w:val="00D152EB"/>
    <w:rsid w:val="00D17649"/>
    <w:rsid w:val="00D31C88"/>
    <w:rsid w:val="00D3501F"/>
    <w:rsid w:val="00D3615A"/>
    <w:rsid w:val="00D47223"/>
    <w:rsid w:val="00D51972"/>
    <w:rsid w:val="00D632A3"/>
    <w:rsid w:val="00D96B05"/>
    <w:rsid w:val="00DC72E5"/>
    <w:rsid w:val="00DD1EC1"/>
    <w:rsid w:val="00DD7775"/>
    <w:rsid w:val="00DE42EF"/>
    <w:rsid w:val="00DF2C86"/>
    <w:rsid w:val="00DF4F18"/>
    <w:rsid w:val="00E24C7E"/>
    <w:rsid w:val="00E313E9"/>
    <w:rsid w:val="00E41EDB"/>
    <w:rsid w:val="00E44EEF"/>
    <w:rsid w:val="00E54CE4"/>
    <w:rsid w:val="00E857F4"/>
    <w:rsid w:val="00E9413D"/>
    <w:rsid w:val="00EA66B5"/>
    <w:rsid w:val="00EB72A5"/>
    <w:rsid w:val="00EC4E94"/>
    <w:rsid w:val="00EE0C1D"/>
    <w:rsid w:val="00F0006C"/>
    <w:rsid w:val="00F11F17"/>
    <w:rsid w:val="00F12A2A"/>
    <w:rsid w:val="00F21651"/>
    <w:rsid w:val="00F217C2"/>
    <w:rsid w:val="00F22D26"/>
    <w:rsid w:val="00F24EBA"/>
    <w:rsid w:val="00F24FD9"/>
    <w:rsid w:val="00F25306"/>
    <w:rsid w:val="00F33D0E"/>
    <w:rsid w:val="00F342F0"/>
    <w:rsid w:val="00F46641"/>
    <w:rsid w:val="00F47B8D"/>
    <w:rsid w:val="00F74519"/>
    <w:rsid w:val="00F80F3E"/>
    <w:rsid w:val="00F82524"/>
    <w:rsid w:val="00F8360E"/>
    <w:rsid w:val="00F903EF"/>
    <w:rsid w:val="00F9276F"/>
    <w:rsid w:val="00F92BF3"/>
    <w:rsid w:val="00F94D91"/>
    <w:rsid w:val="00F96B02"/>
    <w:rsid w:val="00FB135A"/>
    <w:rsid w:val="00FC0627"/>
    <w:rsid w:val="00FE4BBB"/>
    <w:rsid w:val="00FE5BF3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B46"/>
  </w:style>
  <w:style w:type="paragraph" w:styleId="a5">
    <w:name w:val="footer"/>
    <w:basedOn w:val="a"/>
    <w:link w:val="a6"/>
    <w:uiPriority w:val="99"/>
    <w:unhideWhenUsed/>
    <w:rsid w:val="0002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B46"/>
  </w:style>
  <w:style w:type="paragraph" w:styleId="a7">
    <w:name w:val="Balloon Text"/>
    <w:basedOn w:val="a"/>
    <w:link w:val="a8"/>
    <w:uiPriority w:val="99"/>
    <w:semiHidden/>
    <w:unhideWhenUsed/>
    <w:rsid w:val="004C6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1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2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3B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3B46"/>
  </w:style>
  <w:style w:type="paragraph" w:styleId="a5">
    <w:name w:val="footer"/>
    <w:basedOn w:val="a"/>
    <w:link w:val="a6"/>
    <w:uiPriority w:val="99"/>
    <w:unhideWhenUsed/>
    <w:rsid w:val="00023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3B46"/>
  </w:style>
  <w:style w:type="paragraph" w:styleId="a7">
    <w:name w:val="Balloon Text"/>
    <w:basedOn w:val="a"/>
    <w:link w:val="a8"/>
    <w:uiPriority w:val="99"/>
    <w:semiHidden/>
    <w:unhideWhenUsed/>
    <w:rsid w:val="004C6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614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1E25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7DB5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1E6368-66C1-4122-A1E9-691972608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有元　愛彦</dc:creator>
  <cp:lastModifiedBy>田島　義之</cp:lastModifiedBy>
  <cp:revision>4</cp:revision>
  <cp:lastPrinted>2014-06-06T01:09:00Z</cp:lastPrinted>
  <dcterms:created xsi:type="dcterms:W3CDTF">2014-11-19T08:04:00Z</dcterms:created>
  <dcterms:modified xsi:type="dcterms:W3CDTF">2014-11-20T08:11:00Z</dcterms:modified>
</cp:coreProperties>
</file>