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1" w:rsidRPr="005C5F11" w:rsidRDefault="002815A1" w:rsidP="00557087">
      <w:pPr>
        <w:jc w:val="center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8D5AAE" wp14:editId="2ADC959C">
                <wp:simplePos x="0" y="0"/>
                <wp:positionH relativeFrom="column">
                  <wp:posOffset>5043170</wp:posOffset>
                </wp:positionH>
                <wp:positionV relativeFrom="paragraph">
                  <wp:posOffset>-348615</wp:posOffset>
                </wp:positionV>
                <wp:extent cx="12382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5A1" w:rsidRPr="00070E6E" w:rsidRDefault="00070E6E" w:rsidP="00070E6E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="009C13F8"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27.45pt;width:97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" fillcolor="white [3201]" strokeweight=".5pt">
                <v:textbox>
                  <w:txbxContent>
                    <w:p w:rsidR="002815A1" w:rsidRPr="00070E6E" w:rsidRDefault="00070E6E" w:rsidP="00070E6E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参考</w:t>
                      </w:r>
                      <w:r w:rsidR="009C13F8"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資料</w:t>
                      </w:r>
                      <w:r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85901" w:rsidRPr="005C5F11">
        <w:rPr>
          <w:rFonts w:ascii="Meiryo UI" w:eastAsia="Meiryo UI" w:hAnsi="Meiryo UI" w:cs="Meiryo UI" w:hint="eastAsia"/>
          <w:b/>
          <w:noProof/>
          <w:sz w:val="28"/>
          <w:szCs w:val="28"/>
        </w:rPr>
        <w:t>府域における再生可能エネルギーの導入状況</w:t>
      </w:r>
    </w:p>
    <w:p w:rsidR="005C5F11" w:rsidRDefault="005C5F11" w:rsidP="005C5F11">
      <w:pPr>
        <w:snapToGrid w:val="0"/>
        <w:rPr>
          <w:rFonts w:ascii="Meiryo UI" w:eastAsia="Meiryo UI" w:hAnsi="Meiryo UI" w:cs="Meiryo UI"/>
          <w:b/>
          <w:szCs w:val="24"/>
        </w:rPr>
      </w:pPr>
    </w:p>
    <w:p w:rsidR="006F4721" w:rsidRPr="005C5F11" w:rsidRDefault="006F4721" w:rsidP="005C5F11">
      <w:pPr>
        <w:snapToGrid w:val="0"/>
        <w:rPr>
          <w:rFonts w:ascii="Meiryo UI" w:eastAsia="Meiryo UI" w:hAnsi="Meiryo UI" w:cs="Meiryo UI"/>
          <w:b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>１．</w:t>
      </w:r>
      <w:r w:rsidR="00AA4C15" w:rsidRPr="005C5F11">
        <w:rPr>
          <w:rFonts w:ascii="Meiryo UI" w:eastAsia="Meiryo UI" w:hAnsi="Meiryo UI" w:cs="Meiryo UI" w:hint="eastAsia"/>
          <w:b/>
          <w:szCs w:val="24"/>
        </w:rPr>
        <w:t>おおさかエネルギー地産地消推進プラン数値目標の達成状況</w:t>
      </w:r>
    </w:p>
    <w:p w:rsidR="001A4AE5" w:rsidRPr="005C5F11" w:rsidRDefault="001A4AE5" w:rsidP="005C5F11">
      <w:pPr>
        <w:snapToGrid w:val="0"/>
        <w:ind w:leftChars="100" w:left="24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 xml:space="preserve">　</w:t>
      </w:r>
      <w:r w:rsidR="00AA4C15" w:rsidRPr="005C5F11">
        <w:rPr>
          <w:rFonts w:ascii="Meiryo UI" w:eastAsia="Meiryo UI" w:hAnsi="Meiryo UI" w:cs="Meiryo UI" w:hint="eastAsia"/>
          <w:szCs w:val="24"/>
        </w:rPr>
        <w:t>大阪府・大阪市では</w:t>
      </w:r>
      <w:r w:rsidR="000C7D13" w:rsidRPr="005C5F11">
        <w:rPr>
          <w:rFonts w:ascii="Meiryo UI" w:eastAsia="Meiryo UI" w:hAnsi="Meiryo UI" w:cs="Meiryo UI" w:hint="eastAsia"/>
          <w:szCs w:val="24"/>
        </w:rPr>
        <w:t>平成26</w:t>
      </w:r>
      <w:r w:rsidR="00AA4C15" w:rsidRPr="005C5F11">
        <w:rPr>
          <w:rFonts w:ascii="Meiryo UI" w:eastAsia="Meiryo UI" w:hAnsi="Meiryo UI" w:cs="Meiryo UI" w:hint="eastAsia"/>
          <w:szCs w:val="24"/>
        </w:rPr>
        <w:t>年3月に</w:t>
      </w:r>
      <w:r w:rsidR="000C7D13" w:rsidRPr="005C5F11">
        <w:rPr>
          <w:rFonts w:ascii="Meiryo UI" w:eastAsia="Meiryo UI" w:hAnsi="Meiryo UI" w:cs="Meiryo UI" w:hint="eastAsia"/>
          <w:szCs w:val="24"/>
        </w:rPr>
        <w:t>「</w:t>
      </w:r>
      <w:r w:rsidR="00AA4C15" w:rsidRPr="005C5F11">
        <w:rPr>
          <w:rFonts w:ascii="Meiryo UI" w:eastAsia="Meiryo UI" w:hAnsi="Meiryo UI" w:cs="Meiryo UI" w:hint="eastAsia"/>
          <w:szCs w:val="24"/>
        </w:rPr>
        <w:t>おおさかエネルギー地産地消推進プラン</w:t>
      </w:r>
      <w:r w:rsidR="000C7D13" w:rsidRPr="005C5F11">
        <w:rPr>
          <w:rFonts w:ascii="Meiryo UI" w:eastAsia="Meiryo UI" w:hAnsi="Meiryo UI" w:cs="Meiryo UI" w:hint="eastAsia"/>
          <w:szCs w:val="24"/>
        </w:rPr>
        <w:t>」</w:t>
      </w:r>
      <w:r w:rsidR="00AA4C15" w:rsidRPr="005C5F11">
        <w:rPr>
          <w:rFonts w:ascii="Meiryo UI" w:eastAsia="Meiryo UI" w:hAnsi="Meiryo UI" w:cs="Meiryo UI" w:hint="eastAsia"/>
          <w:szCs w:val="24"/>
        </w:rPr>
        <w:t>を策定し、再生可能エネルギー等</w:t>
      </w:r>
      <w:r w:rsidR="002E2B44" w:rsidRPr="005C5F11">
        <w:rPr>
          <w:rFonts w:ascii="Meiryo UI" w:eastAsia="Meiryo UI" w:hAnsi="Meiryo UI" w:cs="Meiryo UI" w:hint="eastAsia"/>
          <w:szCs w:val="24"/>
        </w:rPr>
        <w:t>に</w:t>
      </w:r>
      <w:r w:rsidR="00AA4C15" w:rsidRPr="005C5F11">
        <w:rPr>
          <w:rFonts w:ascii="Meiryo UI" w:eastAsia="Meiryo UI" w:hAnsi="Meiryo UI" w:cs="Meiryo UI" w:hint="eastAsia"/>
          <w:szCs w:val="24"/>
        </w:rPr>
        <w:t>ついて</w:t>
      </w:r>
      <w:r w:rsidR="002E2B44" w:rsidRPr="005C5F11">
        <w:rPr>
          <w:rFonts w:ascii="Meiryo UI" w:eastAsia="Meiryo UI" w:hAnsi="Meiryo UI" w:cs="Meiryo UI" w:hint="eastAsia"/>
          <w:szCs w:val="24"/>
        </w:rPr>
        <w:t>導入</w:t>
      </w:r>
      <w:r w:rsidR="00AA4C15" w:rsidRPr="005C5F11">
        <w:rPr>
          <w:rFonts w:ascii="Meiryo UI" w:eastAsia="Meiryo UI" w:hAnsi="Meiryo UI" w:cs="Meiryo UI" w:hint="eastAsia"/>
          <w:szCs w:val="24"/>
        </w:rPr>
        <w:t>目標数値を掲げ、普及促進を図っている。</w:t>
      </w:r>
      <w:r w:rsidR="000F4C9E" w:rsidRPr="005C5F11">
        <w:rPr>
          <w:rFonts w:ascii="Meiryo UI" w:eastAsia="Meiryo UI" w:hAnsi="Meiryo UI" w:cs="Meiryo UI" w:hint="eastAsia"/>
          <w:szCs w:val="24"/>
        </w:rPr>
        <w:t>この数値目標の</w:t>
      </w:r>
      <w:r w:rsidR="00DF40A9" w:rsidRPr="005C5F11">
        <w:rPr>
          <w:rFonts w:ascii="Meiryo UI" w:eastAsia="Meiryo UI" w:hAnsi="Meiryo UI" w:cs="Meiryo UI" w:hint="eastAsia"/>
          <w:szCs w:val="24"/>
        </w:rPr>
        <w:t>平成</w:t>
      </w:r>
      <w:r w:rsidR="006B4261">
        <w:rPr>
          <w:rFonts w:ascii="Meiryo UI" w:eastAsia="Meiryo UI" w:hAnsi="Meiryo UI" w:cs="Meiryo UI" w:hint="eastAsia"/>
          <w:szCs w:val="24"/>
        </w:rPr>
        <w:t>28</w:t>
      </w:r>
      <w:r w:rsidR="003F3BBF" w:rsidRPr="005C5F11">
        <w:rPr>
          <w:rFonts w:ascii="Meiryo UI" w:eastAsia="Meiryo UI" w:hAnsi="Meiryo UI" w:cs="Meiryo UI" w:hint="eastAsia"/>
          <w:szCs w:val="24"/>
        </w:rPr>
        <w:t>年度末の状況</w:t>
      </w:r>
      <w:r w:rsidR="00AA4C15" w:rsidRPr="005C5F11">
        <w:rPr>
          <w:rFonts w:ascii="Meiryo UI" w:eastAsia="Meiryo UI" w:hAnsi="Meiryo UI" w:cs="Meiryo UI" w:hint="eastAsia"/>
          <w:szCs w:val="24"/>
        </w:rPr>
        <w:t>は表１のとおり。</w:t>
      </w:r>
    </w:p>
    <w:p w:rsidR="00B95977" w:rsidRPr="005C5F11" w:rsidRDefault="003F3BBF" w:rsidP="005C5F11">
      <w:pPr>
        <w:snapToGrid w:val="0"/>
        <w:rPr>
          <w:rFonts w:ascii="Meiryo UI" w:eastAsia="Meiryo UI" w:hAnsi="Meiryo UI" w:cs="Meiryo UI"/>
          <w:sz w:val="18"/>
          <w:szCs w:val="24"/>
        </w:rPr>
      </w:pPr>
      <w:r w:rsidRPr="005C5F11">
        <w:rPr>
          <w:rFonts w:ascii="Meiryo UI" w:eastAsia="Meiryo UI" w:hAnsi="Meiryo UI" w:cs="Meiryo UI" w:hint="eastAsia"/>
          <w:szCs w:val="24"/>
        </w:rPr>
        <w:t xml:space="preserve">　　　　　　　　　　　　　　　　　　　　　</w:t>
      </w:r>
    </w:p>
    <w:p w:rsidR="00AA4C15" w:rsidRPr="005C5F11" w:rsidRDefault="001C54AB" w:rsidP="005C5F11">
      <w:pPr>
        <w:snapToGrid w:val="0"/>
        <w:jc w:val="center"/>
        <w:rPr>
          <w:rFonts w:ascii="Meiryo UI" w:eastAsia="Meiryo UI" w:hAnsi="Meiryo UI" w:cs="Meiryo UI"/>
          <w:sz w:val="18"/>
          <w:szCs w:val="18"/>
        </w:rPr>
      </w:pPr>
      <w:r w:rsidRPr="005C5F11">
        <w:rPr>
          <w:rFonts w:ascii="Meiryo UI" w:eastAsia="Meiryo UI" w:hAnsi="Meiryo UI" w:cs="Meiryo UI" w:hint="eastAsia"/>
          <w:sz w:val="22"/>
        </w:rPr>
        <w:t>表</w:t>
      </w:r>
      <w:r w:rsidR="00CD6F0E" w:rsidRPr="005C5F11">
        <w:rPr>
          <w:rFonts w:ascii="Meiryo UI" w:eastAsia="Meiryo UI" w:hAnsi="Meiryo UI" w:cs="Meiryo UI" w:hint="eastAsia"/>
          <w:sz w:val="22"/>
        </w:rPr>
        <w:t>１</w:t>
      </w:r>
      <w:r w:rsidRPr="005C5F11">
        <w:rPr>
          <w:rFonts w:ascii="Meiryo UI" w:eastAsia="Meiryo UI" w:hAnsi="Meiryo UI" w:cs="Meiryo UI" w:hint="eastAsia"/>
          <w:sz w:val="22"/>
        </w:rPr>
        <w:t xml:space="preserve">　</w:t>
      </w:r>
      <w:r w:rsidR="004A4450" w:rsidRPr="005C5F11">
        <w:rPr>
          <w:rFonts w:ascii="Meiryo UI" w:eastAsia="Meiryo UI" w:hAnsi="Meiryo UI" w:cs="Meiryo UI" w:hint="eastAsia"/>
          <w:sz w:val="22"/>
        </w:rPr>
        <w:t>おおさかエネルギー地産地消推進プラン数値目標の達成状況</w:t>
      </w:r>
      <w:r w:rsidR="00AA4C15" w:rsidRPr="005C5F11">
        <w:rPr>
          <w:rFonts w:ascii="Meiryo UI" w:eastAsia="Meiryo UI" w:hAnsi="Meiryo UI" w:cs="Meiryo UI" w:hint="eastAsia"/>
          <w:sz w:val="18"/>
          <w:szCs w:val="18"/>
        </w:rPr>
        <w:t>（平成</w:t>
      </w:r>
      <w:r w:rsidR="006B4261">
        <w:rPr>
          <w:rFonts w:ascii="Meiryo UI" w:eastAsia="Meiryo UI" w:hAnsi="Meiryo UI" w:cs="Meiryo UI" w:hint="eastAsia"/>
          <w:sz w:val="18"/>
          <w:szCs w:val="18"/>
        </w:rPr>
        <w:t>28</w:t>
      </w:r>
      <w:r w:rsidR="003F3BBF" w:rsidRPr="005C5F11">
        <w:rPr>
          <w:rFonts w:ascii="Meiryo UI" w:eastAsia="Meiryo UI" w:hAnsi="Meiryo UI" w:cs="Meiryo UI" w:hint="eastAsia"/>
          <w:sz w:val="18"/>
          <w:szCs w:val="18"/>
        </w:rPr>
        <w:t>年度末</w:t>
      </w:r>
      <w:r w:rsidR="00AA4C15" w:rsidRPr="005C5F11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5"/>
        <w:tblpPr w:leftFromText="142" w:rightFromText="142" w:vertAnchor="text" w:horzAnchor="margin" w:tblpXSpec="center" w:tblpY="62"/>
        <w:tblW w:w="8330" w:type="dxa"/>
        <w:tblLook w:val="04A0" w:firstRow="1" w:lastRow="0" w:firstColumn="1" w:lastColumn="0" w:noHBand="0" w:noVBand="1"/>
      </w:tblPr>
      <w:tblGrid>
        <w:gridCol w:w="582"/>
        <w:gridCol w:w="2361"/>
        <w:gridCol w:w="1647"/>
        <w:gridCol w:w="3740"/>
      </w:tblGrid>
      <w:tr w:rsidR="00AA4C15" w:rsidRPr="005C5F11" w:rsidTr="00DF40A9">
        <w:trPr>
          <w:trHeight w:val="297"/>
        </w:trPr>
        <w:tc>
          <w:tcPr>
            <w:tcW w:w="45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2013年度から2020年度までの目標値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（下段は2020年度末の累計目標値）</w:t>
            </w:r>
          </w:p>
        </w:tc>
        <w:tc>
          <w:tcPr>
            <w:tcW w:w="3740" w:type="dxa"/>
            <w:vMerge w:val="restart"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達成状況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（下段は</w:t>
            </w:r>
            <w:r w:rsidR="00001A58">
              <w:rPr>
                <w:rFonts w:ascii="Meiryo UI" w:eastAsia="Meiryo UI" w:hAnsi="Meiryo UI" w:cs="Meiryo UI" w:hint="eastAsia"/>
                <w:sz w:val="18"/>
                <w:szCs w:val="18"/>
              </w:rPr>
              <w:t>2016</w:t>
            </w:r>
            <w:bookmarkStart w:id="0" w:name="_GoBack"/>
            <w:bookmarkEnd w:id="0"/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3F3BBF"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度末</w:t>
            </w: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の累計導入状況）</w:t>
            </w:r>
          </w:p>
        </w:tc>
      </w:tr>
      <w:tr w:rsidR="00AA4C15" w:rsidRPr="005C5F11" w:rsidTr="00DF40A9">
        <w:trPr>
          <w:trHeight w:val="347"/>
        </w:trPr>
        <w:tc>
          <w:tcPr>
            <w:tcW w:w="4590" w:type="dxa"/>
            <w:gridSpan w:val="3"/>
            <w:vMerge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hRule="exact" w:val="20"/>
        </w:trPr>
        <w:tc>
          <w:tcPr>
            <w:tcW w:w="582" w:type="dxa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AA4C15" w:rsidRPr="005C5F11" w:rsidRDefault="00AA4C15" w:rsidP="005C5F11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供給力の増加</w:t>
            </w:r>
          </w:p>
        </w:tc>
        <w:tc>
          <w:tcPr>
            <w:tcW w:w="2361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太陽光発電</w:t>
            </w:r>
          </w:p>
        </w:tc>
        <w:tc>
          <w:tcPr>
            <w:tcW w:w="1647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+90万kW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約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115万kW)</w:t>
            </w:r>
          </w:p>
        </w:tc>
        <w:tc>
          <w:tcPr>
            <w:tcW w:w="3740" w:type="dxa"/>
            <w:vMerge w:val="restart"/>
            <w:tcBorders>
              <w:top w:val="double" w:sz="4" w:space="0" w:color="auto"/>
            </w:tcBorders>
            <w:vAlign w:val="center"/>
          </w:tcPr>
          <w:p w:rsidR="00AA4C15" w:rsidRPr="009C13F8" w:rsidRDefault="006B4261" w:rsidP="005C5F11">
            <w:pPr>
              <w:snapToGrid w:val="0"/>
              <w:ind w:firstLineChars="50" w:firstLine="105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+58.2</w:t>
            </w:r>
            <w:r w:rsidR="00AA4C15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64.7</w:t>
            </w:r>
            <w:r w:rsidR="00AA4C15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％】</w:t>
            </w:r>
          </w:p>
          <w:p w:rsidR="00322807" w:rsidRPr="009C13F8" w:rsidRDefault="00AA4C15" w:rsidP="00322807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</w:t>
            </w:r>
            <w:r w:rsidR="006B426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83</w:t>
            </w:r>
            <w:r w:rsidR="00E356EF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.</w:t>
            </w:r>
            <w:r w:rsidR="006B426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2</w:t>
            </w:r>
            <w:r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hRule="exact" w:val="2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分散型電源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（コージェネレーション等）</w:t>
            </w:r>
          </w:p>
        </w:tc>
        <w:tc>
          <w:tcPr>
            <w:tcW w:w="1647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+30万kW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約83</w:t>
            </w: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740" w:type="dxa"/>
            <w:vMerge w:val="restart"/>
            <w:vAlign w:val="center"/>
          </w:tcPr>
          <w:p w:rsidR="00AA4C15" w:rsidRPr="005C5F11" w:rsidRDefault="006B4261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+3.7</w:t>
            </w:r>
            <w:r w:rsidR="00AA4C15"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12.3</w:t>
            </w:r>
            <w:r w:rsidR="00AA4C15"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％】</w:t>
            </w:r>
          </w:p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</w:t>
            </w:r>
            <w:r w:rsidR="006B426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57.1</w:t>
            </w: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廃棄物発電等</w:t>
            </w:r>
          </w:p>
        </w:tc>
        <w:tc>
          <w:tcPr>
            <w:tcW w:w="1647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+5万kW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約28</w:t>
            </w: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740" w:type="dxa"/>
            <w:vMerge w:val="restart"/>
            <w:vAlign w:val="center"/>
          </w:tcPr>
          <w:p w:rsidR="00AA4C15" w:rsidRPr="005C5F11" w:rsidRDefault="006B4261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+2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9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5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8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.0％】</w:t>
            </w:r>
          </w:p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（</w:t>
            </w:r>
            <w:r w:rsidR="006B4261">
              <w:rPr>
                <w:rFonts w:ascii="Meiryo UI" w:eastAsia="Meiryo UI" w:hAnsi="Meiryo UI" w:cs="Meiryo UI" w:hint="eastAsia"/>
                <w:sz w:val="21"/>
                <w:szCs w:val="21"/>
              </w:rPr>
              <w:t>25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.7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714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A4C15" w:rsidRPr="005C5F11" w:rsidRDefault="00AA4C15" w:rsidP="005C5F11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需要の削減</w:t>
            </w:r>
          </w:p>
        </w:tc>
        <w:tc>
          <w:tcPr>
            <w:tcW w:w="2361" w:type="dxa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ガス冷暖房等</w:t>
            </w:r>
          </w:p>
        </w:tc>
        <w:tc>
          <w:tcPr>
            <w:tcW w:w="1647" w:type="dxa"/>
            <w:tcBorders>
              <w:left w:val="dotted" w:sz="4" w:space="0" w:color="auto"/>
            </w:tcBorders>
            <w:vAlign w:val="center"/>
          </w:tcPr>
          <w:p w:rsidR="00AA4C15" w:rsidRPr="005C5F11" w:rsidRDefault="000C7D13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20万kW</w:t>
            </w:r>
          </w:p>
        </w:tc>
        <w:tc>
          <w:tcPr>
            <w:tcW w:w="3740" w:type="dxa"/>
            <w:vAlign w:val="center"/>
          </w:tcPr>
          <w:p w:rsidR="00AA4C15" w:rsidRPr="005C5F11" w:rsidRDefault="006B4261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+19.2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96.0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％】</w:t>
            </w:r>
          </w:p>
        </w:tc>
      </w:tr>
      <w:tr w:rsidR="00AA4C15" w:rsidRPr="005C5F11" w:rsidTr="005C5F11">
        <w:trPr>
          <w:trHeight w:val="699"/>
        </w:trPr>
        <w:tc>
          <w:tcPr>
            <w:tcW w:w="582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AA4C15" w:rsidRPr="005C5F11" w:rsidRDefault="00AA4C15" w:rsidP="005C5F11">
            <w:pPr>
              <w:snapToGri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CE62F6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ＢＥＭＳ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等</w:t>
            </w:r>
          </w:p>
        </w:tc>
        <w:tc>
          <w:tcPr>
            <w:tcW w:w="1647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A4C15" w:rsidRPr="005C5F11" w:rsidRDefault="000C7D13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5万kW</w:t>
            </w:r>
          </w:p>
        </w:tc>
        <w:tc>
          <w:tcPr>
            <w:tcW w:w="3740" w:type="dxa"/>
            <w:tcBorders>
              <w:bottom w:val="double" w:sz="4" w:space="0" w:color="auto"/>
            </w:tcBorders>
            <w:vAlign w:val="center"/>
          </w:tcPr>
          <w:p w:rsidR="000C7D13" w:rsidRPr="009C13F8" w:rsidRDefault="000C7D13" w:rsidP="009C13F8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6B4261">
              <w:rPr>
                <w:rFonts w:ascii="Meiryo UI" w:eastAsia="Meiryo UI" w:hAnsi="Meiryo UI" w:cs="Meiryo UI" w:hint="eastAsia"/>
                <w:sz w:val="21"/>
                <w:szCs w:val="21"/>
              </w:rPr>
              <w:t>3.7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 w:rsidR="006B4261">
              <w:rPr>
                <w:rFonts w:ascii="Meiryo UI" w:eastAsia="Meiryo UI" w:hAnsi="Meiryo UI" w:cs="Meiryo UI" w:hint="eastAsia"/>
                <w:sz w:val="21"/>
                <w:szCs w:val="21"/>
              </w:rPr>
              <w:t>74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.0％】</w:t>
            </w:r>
          </w:p>
        </w:tc>
      </w:tr>
      <w:tr w:rsidR="00AA4C15" w:rsidRPr="005C5F11" w:rsidTr="005C5F11">
        <w:trPr>
          <w:trHeight w:val="627"/>
        </w:trPr>
        <w:tc>
          <w:tcPr>
            <w:tcW w:w="2943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合計</w:t>
            </w:r>
          </w:p>
        </w:tc>
        <w:tc>
          <w:tcPr>
            <w:tcW w:w="1647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+150万kW</w:t>
            </w:r>
          </w:p>
        </w:tc>
        <w:tc>
          <w:tcPr>
            <w:tcW w:w="3740" w:type="dxa"/>
            <w:tcBorders>
              <w:top w:val="double" w:sz="4" w:space="0" w:color="auto"/>
            </w:tcBorders>
            <w:vAlign w:val="center"/>
          </w:tcPr>
          <w:p w:rsidR="00094822" w:rsidRPr="009C13F8" w:rsidRDefault="006B4261" w:rsidP="009C13F8">
            <w:pPr>
              <w:snapToGrid w:val="0"/>
              <w:ind w:firstLineChars="50" w:firstLine="105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+87</w:t>
            </w:r>
            <w:r w:rsidR="00F85A0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.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7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58.5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％】</w:t>
            </w:r>
          </w:p>
        </w:tc>
      </w:tr>
    </w:tbl>
    <w:p w:rsidR="004A4450" w:rsidRPr="005C5F11" w:rsidRDefault="00AA4C15" w:rsidP="005C5F11">
      <w:pPr>
        <w:snapToGrid w:val="0"/>
        <w:jc w:val="center"/>
        <w:rPr>
          <w:rFonts w:ascii="Meiryo UI" w:eastAsia="Meiryo UI" w:hAnsi="Meiryo UI" w:cs="Meiryo UI"/>
          <w:sz w:val="21"/>
          <w:szCs w:val="21"/>
        </w:rPr>
      </w:pPr>
      <w:r w:rsidRPr="005C5F11">
        <w:rPr>
          <w:rFonts w:ascii="Meiryo UI" w:eastAsia="Meiryo UI" w:hAnsi="Meiryo UI" w:cs="Meiryo UI" w:hint="eastAsia"/>
          <w:szCs w:val="24"/>
        </w:rPr>
        <w:t xml:space="preserve">　　　　　　　　　　　　　　　　　　　　　　　</w:t>
      </w:r>
      <w:r w:rsidR="005C5F11">
        <w:rPr>
          <w:rFonts w:ascii="Meiryo UI" w:eastAsia="Meiryo UI" w:hAnsi="Meiryo UI" w:cs="Meiryo UI" w:hint="eastAsia"/>
          <w:szCs w:val="24"/>
        </w:rPr>
        <w:t xml:space="preserve">　　　　　　　　　　　　　</w:t>
      </w:r>
      <w:r w:rsidRPr="005C5F11">
        <w:rPr>
          <w:rFonts w:ascii="Meiryo UI" w:eastAsia="Meiryo UI" w:hAnsi="Meiryo UI" w:cs="Meiryo UI" w:hint="eastAsia"/>
          <w:szCs w:val="24"/>
        </w:rPr>
        <w:t xml:space="preserve">　</w:t>
      </w:r>
      <w:r w:rsidRPr="005C5F11">
        <w:rPr>
          <w:rFonts w:ascii="Meiryo UI" w:eastAsia="Meiryo UI" w:hAnsi="Meiryo UI" w:cs="Meiryo UI" w:hint="eastAsia"/>
          <w:sz w:val="21"/>
          <w:szCs w:val="21"/>
        </w:rPr>
        <w:t>（資料）大阪府調べ</w:t>
      </w:r>
    </w:p>
    <w:p w:rsidR="00283823" w:rsidRPr="005C5F11" w:rsidRDefault="00283823" w:rsidP="005C5F11">
      <w:pPr>
        <w:snapToGrid w:val="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>２．府域における太陽光発電の導入状況</w:t>
      </w:r>
    </w:p>
    <w:p w:rsidR="009C13F8" w:rsidRPr="00B2607F" w:rsidRDefault="00B2607F" w:rsidP="00B2607F">
      <w:pPr>
        <w:snapToGrid w:val="0"/>
        <w:spacing w:afterLines="50" w:after="180"/>
        <w:ind w:leftChars="100" w:left="240" w:firstLineChars="100" w:firstLine="240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0B583C" wp14:editId="1C44B125">
                <wp:simplePos x="0" y="0"/>
                <wp:positionH relativeFrom="column">
                  <wp:posOffset>1261745</wp:posOffset>
                </wp:positionH>
                <wp:positionV relativeFrom="paragraph">
                  <wp:posOffset>579755</wp:posOffset>
                </wp:positionV>
                <wp:extent cx="3314700" cy="333375"/>
                <wp:effectExtent l="0" t="0" r="0" b="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07F" w:rsidRPr="005C5F11" w:rsidRDefault="00B2607F" w:rsidP="00B2607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5C5F1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図１　府域における太陽光発電の累計導入量の推移</w:t>
                            </w:r>
                          </w:p>
                          <w:p w:rsidR="00B2607F" w:rsidRPr="00B2607F" w:rsidRDefault="00B26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4" o:spid="_x0000_s1027" type="#_x0000_t202" style="position:absolute;left:0;text-align:left;margin-left:99.35pt;margin-top:45.65pt;width:261pt;height:26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" filled="f" stroked="f" strokeweight=".5pt">
                <v:textbox>
                  <w:txbxContent>
                    <w:p w:rsidR="00B2607F" w:rsidRPr="005C5F11" w:rsidRDefault="00B2607F" w:rsidP="00B2607F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5C5F1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図１　府域における太陽光発電の累計導入量の推移</w:t>
                      </w:r>
                    </w:p>
                    <w:p w:rsidR="00B2607F" w:rsidRPr="00B2607F" w:rsidRDefault="00B2607F"/>
                  </w:txbxContent>
                </v:textbox>
              </v:shape>
            </w:pict>
          </mc:Fallback>
        </mc:AlternateContent>
      </w:r>
      <w:r w:rsidR="004D505D" w:rsidRPr="005C5F11">
        <w:rPr>
          <w:rFonts w:ascii="Meiryo UI" w:eastAsia="Meiryo UI" w:hAnsi="Meiryo UI" w:cs="Meiryo UI" w:hint="eastAsia"/>
          <w:szCs w:val="24"/>
        </w:rPr>
        <w:t>平成</w:t>
      </w:r>
      <w:r w:rsidR="006B4261">
        <w:rPr>
          <w:rFonts w:ascii="Meiryo UI" w:eastAsia="Meiryo UI" w:hAnsi="Meiryo UI" w:cs="Meiryo UI" w:hint="eastAsia"/>
          <w:szCs w:val="24"/>
        </w:rPr>
        <w:t>28</w:t>
      </w:r>
      <w:r w:rsidR="005C5F11" w:rsidRPr="005C5F11">
        <w:rPr>
          <w:rFonts w:ascii="Meiryo UI" w:eastAsia="Meiryo UI" w:hAnsi="Meiryo UI" w:cs="Meiryo UI" w:hint="eastAsia"/>
          <w:szCs w:val="24"/>
        </w:rPr>
        <w:t>年</w:t>
      </w:r>
      <w:r w:rsidR="006B4261">
        <w:rPr>
          <w:rFonts w:ascii="Meiryo UI" w:eastAsia="Meiryo UI" w:hAnsi="Meiryo UI" w:cs="Meiryo UI" w:hint="eastAsia"/>
          <w:szCs w:val="24"/>
        </w:rPr>
        <w:t>度末</w:t>
      </w:r>
      <w:r w:rsidR="00E356EF">
        <w:rPr>
          <w:rFonts w:ascii="Meiryo UI" w:eastAsia="Meiryo UI" w:hAnsi="Meiryo UI" w:cs="Meiryo UI" w:hint="eastAsia"/>
          <w:szCs w:val="24"/>
        </w:rPr>
        <w:t>時点</w:t>
      </w:r>
      <w:r w:rsidR="009C13F8">
        <w:rPr>
          <w:rFonts w:ascii="Meiryo UI" w:eastAsia="Meiryo UI" w:hAnsi="Meiryo UI" w:cs="Meiryo UI" w:hint="eastAsia"/>
          <w:szCs w:val="24"/>
        </w:rPr>
        <w:t>（最新）</w:t>
      </w:r>
      <w:r w:rsidR="00337007" w:rsidRPr="005C5F11">
        <w:rPr>
          <w:rFonts w:ascii="Meiryo UI" w:eastAsia="Meiryo UI" w:hAnsi="Meiryo UI" w:cs="Meiryo UI" w:hint="eastAsia"/>
          <w:szCs w:val="24"/>
        </w:rPr>
        <w:t>の</w:t>
      </w:r>
      <w:r w:rsidR="00283823" w:rsidRPr="005C5F11">
        <w:rPr>
          <w:rFonts w:ascii="Meiryo UI" w:eastAsia="Meiryo UI" w:hAnsi="Meiryo UI" w:cs="Meiryo UI" w:hint="eastAsia"/>
          <w:szCs w:val="24"/>
        </w:rPr>
        <w:t>大阪府</w:t>
      </w:r>
      <w:r w:rsidR="00E75D99" w:rsidRPr="005C5F11">
        <w:rPr>
          <w:rFonts w:ascii="Meiryo UI" w:eastAsia="Meiryo UI" w:hAnsi="Meiryo UI" w:cs="Meiryo UI" w:hint="eastAsia"/>
          <w:szCs w:val="24"/>
        </w:rPr>
        <w:t>域</w:t>
      </w:r>
      <w:r w:rsidR="00337007" w:rsidRPr="005C5F11">
        <w:rPr>
          <w:rFonts w:ascii="Meiryo UI" w:eastAsia="Meiryo UI" w:hAnsi="Meiryo UI" w:cs="Meiryo UI" w:hint="eastAsia"/>
          <w:szCs w:val="24"/>
        </w:rPr>
        <w:t>の</w:t>
      </w:r>
      <w:r w:rsidR="00E75D99" w:rsidRPr="005C5F11">
        <w:rPr>
          <w:rFonts w:ascii="Meiryo UI" w:eastAsia="Meiryo UI" w:hAnsi="Meiryo UI" w:cs="Meiryo UI" w:hint="eastAsia"/>
          <w:szCs w:val="24"/>
        </w:rPr>
        <w:t>太陽光発電</w:t>
      </w:r>
      <w:r w:rsidR="004D505D" w:rsidRPr="005C5F11">
        <w:rPr>
          <w:rFonts w:ascii="Meiryo UI" w:eastAsia="Meiryo UI" w:hAnsi="Meiryo UI" w:cs="Meiryo UI" w:hint="eastAsia"/>
          <w:szCs w:val="24"/>
        </w:rPr>
        <w:t>設備</w:t>
      </w:r>
      <w:r w:rsidR="00E75D99" w:rsidRPr="005C5F11">
        <w:rPr>
          <w:rFonts w:ascii="Meiryo UI" w:eastAsia="Meiryo UI" w:hAnsi="Meiryo UI" w:cs="Meiryo UI" w:hint="eastAsia"/>
          <w:szCs w:val="24"/>
        </w:rPr>
        <w:t>の導入</w:t>
      </w:r>
      <w:r w:rsidR="00094822" w:rsidRPr="005C5F11">
        <w:rPr>
          <w:rFonts w:ascii="Meiryo UI" w:eastAsia="Meiryo UI" w:hAnsi="Meiryo UI" w:cs="Meiryo UI" w:hint="eastAsia"/>
          <w:szCs w:val="24"/>
        </w:rPr>
        <w:t>量</w:t>
      </w:r>
      <w:r w:rsidR="004D505D" w:rsidRPr="005C5F11">
        <w:rPr>
          <w:rFonts w:ascii="Meiryo UI" w:eastAsia="Meiryo UI" w:hAnsi="Meiryo UI" w:cs="Meiryo UI" w:hint="eastAsia"/>
          <w:szCs w:val="24"/>
        </w:rPr>
        <w:t>は、</w:t>
      </w:r>
      <w:r w:rsidR="006B4261">
        <w:rPr>
          <w:rFonts w:ascii="Meiryo UI" w:eastAsia="Meiryo UI" w:hAnsi="Meiryo UI" w:cs="Meiryo UI" w:hint="eastAsia"/>
          <w:szCs w:val="24"/>
        </w:rPr>
        <w:t>83</w:t>
      </w:r>
      <w:r w:rsidR="009C13F8">
        <w:rPr>
          <w:rFonts w:ascii="Meiryo UI" w:eastAsia="Meiryo UI" w:hAnsi="Meiryo UI" w:cs="Meiryo UI" w:hint="eastAsia"/>
          <w:szCs w:val="24"/>
        </w:rPr>
        <w:t>.2</w:t>
      </w:r>
      <w:r w:rsidR="004D505D" w:rsidRPr="005C5F11">
        <w:rPr>
          <w:rFonts w:ascii="Meiryo UI" w:eastAsia="Meiryo UI" w:hAnsi="Meiryo UI" w:cs="Meiryo UI" w:hint="eastAsia"/>
          <w:szCs w:val="24"/>
        </w:rPr>
        <w:t>万kW（住宅用</w:t>
      </w:r>
      <w:r w:rsidR="006B4261">
        <w:rPr>
          <w:rFonts w:ascii="Meiryo UI" w:eastAsia="Meiryo UI" w:hAnsi="Meiryo UI" w:cs="Meiryo UI" w:hint="eastAsia"/>
          <w:szCs w:val="24"/>
        </w:rPr>
        <w:t>36</w:t>
      </w:r>
      <w:r w:rsidR="009C13F8">
        <w:rPr>
          <w:rFonts w:ascii="Meiryo UI" w:eastAsia="Meiryo UI" w:hAnsi="Meiryo UI" w:cs="Meiryo UI" w:hint="eastAsia"/>
          <w:szCs w:val="24"/>
        </w:rPr>
        <w:t>.5</w:t>
      </w:r>
      <w:r w:rsidR="004D505D" w:rsidRPr="005C5F11">
        <w:rPr>
          <w:rFonts w:ascii="Meiryo UI" w:eastAsia="Meiryo UI" w:hAnsi="Meiryo UI" w:cs="Meiryo UI" w:hint="eastAsia"/>
          <w:szCs w:val="24"/>
        </w:rPr>
        <w:t>万kW、非住宅用</w:t>
      </w:r>
      <w:r w:rsidR="006B4261">
        <w:rPr>
          <w:rFonts w:ascii="Meiryo UI" w:eastAsia="Meiryo UI" w:hAnsi="Meiryo UI" w:cs="Meiryo UI" w:hint="eastAsia"/>
          <w:szCs w:val="24"/>
        </w:rPr>
        <w:t>46</w:t>
      </w:r>
      <w:r w:rsidR="009C13F8">
        <w:rPr>
          <w:rFonts w:ascii="Meiryo UI" w:eastAsia="Meiryo UI" w:hAnsi="Meiryo UI" w:cs="Meiryo UI" w:hint="eastAsia"/>
          <w:szCs w:val="24"/>
        </w:rPr>
        <w:t>.7</w:t>
      </w:r>
      <w:r w:rsidR="004D505D" w:rsidRPr="005C5F11">
        <w:rPr>
          <w:rFonts w:ascii="Meiryo UI" w:eastAsia="Meiryo UI" w:hAnsi="Meiryo UI" w:cs="Meiryo UI" w:hint="eastAsia"/>
          <w:szCs w:val="24"/>
        </w:rPr>
        <w:t>万kW）</w:t>
      </w:r>
      <w:r w:rsidR="00337007" w:rsidRPr="005C5F11">
        <w:rPr>
          <w:rFonts w:ascii="Meiryo UI" w:eastAsia="Meiryo UI" w:hAnsi="Meiryo UI" w:cs="Meiryo UI" w:hint="eastAsia"/>
          <w:szCs w:val="24"/>
        </w:rPr>
        <w:t>である</w:t>
      </w:r>
      <w:r w:rsidR="00094822" w:rsidRPr="005C5F11">
        <w:rPr>
          <w:rFonts w:ascii="Meiryo UI" w:eastAsia="Meiryo UI" w:hAnsi="Meiryo UI" w:cs="Meiryo UI" w:hint="eastAsia"/>
          <w:szCs w:val="24"/>
        </w:rPr>
        <w:t>（図１）</w:t>
      </w:r>
      <w:r w:rsidR="00337007" w:rsidRPr="005C5F11">
        <w:rPr>
          <w:rFonts w:ascii="Meiryo UI" w:eastAsia="Meiryo UI" w:hAnsi="Meiryo UI" w:cs="Meiryo UI" w:hint="eastAsia"/>
          <w:szCs w:val="24"/>
        </w:rPr>
        <w:t>。</w:t>
      </w:r>
    </w:p>
    <w:p w:rsidR="00E75D99" w:rsidRPr="005C5F11" w:rsidRDefault="00B2607F" w:rsidP="005C5F11">
      <w:pPr>
        <w:snapToGrid w:val="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14C5BB" wp14:editId="7BF249A8">
                <wp:simplePos x="0" y="0"/>
                <wp:positionH relativeFrom="column">
                  <wp:posOffset>823595</wp:posOffset>
                </wp:positionH>
                <wp:positionV relativeFrom="paragraph">
                  <wp:posOffset>709295</wp:posOffset>
                </wp:positionV>
                <wp:extent cx="1352550" cy="2762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07" w:rsidRPr="00B2607F" w:rsidRDefault="00337007">
                            <w:pPr>
                              <w:rPr>
                                <w:sz w:val="22"/>
                              </w:rPr>
                            </w:pPr>
                            <w:r w:rsidRPr="00B2607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（資料）</w:t>
                            </w:r>
                            <w:r w:rsidRPr="00B2607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大阪府調べ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4.85pt;margin-top:55.85pt;width:106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" filled="f" stroked="f">
                <v:textbox>
                  <w:txbxContent>
                    <w:p w:rsidR="00337007" w:rsidRPr="00B2607F" w:rsidRDefault="00337007">
                      <w:pPr>
                        <w:rPr>
                          <w:sz w:val="22"/>
                        </w:rPr>
                      </w:pPr>
                      <w:r w:rsidRPr="00B2607F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（資料）大阪府調べ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4AF702" wp14:editId="2FF2E3AA">
            <wp:extent cx="5572125" cy="2657475"/>
            <wp:effectExtent l="0" t="0" r="0" b="0"/>
            <wp:docPr id="493" name="グラフ 4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75D99" w:rsidRPr="005C5F11" w:rsidSect="000C7D13">
      <w:foot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1E" w:rsidRDefault="00290E1E" w:rsidP="000D0E64">
      <w:r>
        <w:separator/>
      </w:r>
    </w:p>
  </w:endnote>
  <w:endnote w:type="continuationSeparator" w:id="0">
    <w:p w:rsidR="00290E1E" w:rsidRDefault="00290E1E" w:rsidP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50" w:rsidRDefault="004A4450" w:rsidP="003B09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1E" w:rsidRDefault="00290E1E" w:rsidP="000D0E64">
      <w:r>
        <w:separator/>
      </w:r>
    </w:p>
  </w:footnote>
  <w:footnote w:type="continuationSeparator" w:id="0">
    <w:p w:rsidR="00290E1E" w:rsidRDefault="00290E1E" w:rsidP="000D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4DFD"/>
    <w:multiLevelType w:val="hybridMultilevel"/>
    <w:tmpl w:val="DCF6751C"/>
    <w:lvl w:ilvl="0" w:tplc="04090013">
      <w:start w:val="1"/>
      <w:numFmt w:val="upperRoman"/>
      <w:lvlText w:val="%1."/>
      <w:lvlJc w:val="left"/>
      <w:pPr>
        <w:ind w:left="11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9"/>
    <w:rsid w:val="00001A58"/>
    <w:rsid w:val="00003A78"/>
    <w:rsid w:val="0003394C"/>
    <w:rsid w:val="00047C80"/>
    <w:rsid w:val="00050846"/>
    <w:rsid w:val="00055662"/>
    <w:rsid w:val="000571DD"/>
    <w:rsid w:val="00063178"/>
    <w:rsid w:val="00070E6E"/>
    <w:rsid w:val="000844F0"/>
    <w:rsid w:val="00094822"/>
    <w:rsid w:val="00096AC4"/>
    <w:rsid w:val="00097590"/>
    <w:rsid w:val="000B77C7"/>
    <w:rsid w:val="000C1C51"/>
    <w:rsid w:val="000C7D13"/>
    <w:rsid w:val="000D0E64"/>
    <w:rsid w:val="000D1A9D"/>
    <w:rsid w:val="000F4C9E"/>
    <w:rsid w:val="00122D80"/>
    <w:rsid w:val="0012472B"/>
    <w:rsid w:val="00127025"/>
    <w:rsid w:val="001A4AE5"/>
    <w:rsid w:val="001C1491"/>
    <w:rsid w:val="001C1FDE"/>
    <w:rsid w:val="001C54AB"/>
    <w:rsid w:val="001C727E"/>
    <w:rsid w:val="001D7706"/>
    <w:rsid w:val="001E74B6"/>
    <w:rsid w:val="0020420E"/>
    <w:rsid w:val="00210DF0"/>
    <w:rsid w:val="00214BF9"/>
    <w:rsid w:val="0022384F"/>
    <w:rsid w:val="002332A9"/>
    <w:rsid w:val="002466F8"/>
    <w:rsid w:val="00263380"/>
    <w:rsid w:val="00272A22"/>
    <w:rsid w:val="002744ED"/>
    <w:rsid w:val="002815A1"/>
    <w:rsid w:val="00283823"/>
    <w:rsid w:val="00290E1E"/>
    <w:rsid w:val="002A1D1F"/>
    <w:rsid w:val="002B025C"/>
    <w:rsid w:val="002B668C"/>
    <w:rsid w:val="002E2B44"/>
    <w:rsid w:val="002E601A"/>
    <w:rsid w:val="002F2B58"/>
    <w:rsid w:val="002F6493"/>
    <w:rsid w:val="00305066"/>
    <w:rsid w:val="00311F52"/>
    <w:rsid w:val="00322807"/>
    <w:rsid w:val="00333326"/>
    <w:rsid w:val="00335C6B"/>
    <w:rsid w:val="00336D60"/>
    <w:rsid w:val="00337007"/>
    <w:rsid w:val="00337E42"/>
    <w:rsid w:val="0034707E"/>
    <w:rsid w:val="00367B39"/>
    <w:rsid w:val="0037490D"/>
    <w:rsid w:val="00377745"/>
    <w:rsid w:val="00391094"/>
    <w:rsid w:val="003940A3"/>
    <w:rsid w:val="003A675F"/>
    <w:rsid w:val="003B0909"/>
    <w:rsid w:val="003B4121"/>
    <w:rsid w:val="003B712E"/>
    <w:rsid w:val="003C316C"/>
    <w:rsid w:val="003E3246"/>
    <w:rsid w:val="003F3BBF"/>
    <w:rsid w:val="00407D75"/>
    <w:rsid w:val="00430BF6"/>
    <w:rsid w:val="00473A2F"/>
    <w:rsid w:val="00491B5D"/>
    <w:rsid w:val="004A4450"/>
    <w:rsid w:val="004B4141"/>
    <w:rsid w:val="004D4D70"/>
    <w:rsid w:val="004D505D"/>
    <w:rsid w:val="004E26D3"/>
    <w:rsid w:val="004E281E"/>
    <w:rsid w:val="004E4D2E"/>
    <w:rsid w:val="004F0BD4"/>
    <w:rsid w:val="005133DD"/>
    <w:rsid w:val="0053645C"/>
    <w:rsid w:val="00557087"/>
    <w:rsid w:val="0055728C"/>
    <w:rsid w:val="00566158"/>
    <w:rsid w:val="00586BB3"/>
    <w:rsid w:val="005A310E"/>
    <w:rsid w:val="005B1A3F"/>
    <w:rsid w:val="005B24B9"/>
    <w:rsid w:val="005B48CF"/>
    <w:rsid w:val="005B4CED"/>
    <w:rsid w:val="005C5F11"/>
    <w:rsid w:val="005D1FBC"/>
    <w:rsid w:val="005E44E2"/>
    <w:rsid w:val="00641447"/>
    <w:rsid w:val="00641936"/>
    <w:rsid w:val="00644EEE"/>
    <w:rsid w:val="006616E6"/>
    <w:rsid w:val="00665E80"/>
    <w:rsid w:val="00686197"/>
    <w:rsid w:val="006B4261"/>
    <w:rsid w:val="006C005B"/>
    <w:rsid w:val="006C5710"/>
    <w:rsid w:val="006C7F68"/>
    <w:rsid w:val="006F4721"/>
    <w:rsid w:val="00710E22"/>
    <w:rsid w:val="007303E4"/>
    <w:rsid w:val="0076349B"/>
    <w:rsid w:val="00763C16"/>
    <w:rsid w:val="00763C42"/>
    <w:rsid w:val="0078138F"/>
    <w:rsid w:val="00795AF0"/>
    <w:rsid w:val="007A1C2E"/>
    <w:rsid w:val="007B54E7"/>
    <w:rsid w:val="007C0D35"/>
    <w:rsid w:val="007C6737"/>
    <w:rsid w:val="007E4CF5"/>
    <w:rsid w:val="00847B33"/>
    <w:rsid w:val="00886E81"/>
    <w:rsid w:val="008A2E6A"/>
    <w:rsid w:val="008D6141"/>
    <w:rsid w:val="008D6C9E"/>
    <w:rsid w:val="008F4DAA"/>
    <w:rsid w:val="00921CD6"/>
    <w:rsid w:val="009337A6"/>
    <w:rsid w:val="00947EAB"/>
    <w:rsid w:val="00954D96"/>
    <w:rsid w:val="00967B9C"/>
    <w:rsid w:val="0099663C"/>
    <w:rsid w:val="009C13F8"/>
    <w:rsid w:val="009C3A85"/>
    <w:rsid w:val="009D3EA4"/>
    <w:rsid w:val="009E52DF"/>
    <w:rsid w:val="009F7C11"/>
    <w:rsid w:val="00A12E0A"/>
    <w:rsid w:val="00A3328C"/>
    <w:rsid w:val="00A41350"/>
    <w:rsid w:val="00A532F7"/>
    <w:rsid w:val="00A82FE3"/>
    <w:rsid w:val="00A8696A"/>
    <w:rsid w:val="00AA1D93"/>
    <w:rsid w:val="00AA4024"/>
    <w:rsid w:val="00AA41BC"/>
    <w:rsid w:val="00AA4C15"/>
    <w:rsid w:val="00AC3630"/>
    <w:rsid w:val="00AF01F1"/>
    <w:rsid w:val="00B2607F"/>
    <w:rsid w:val="00B30B00"/>
    <w:rsid w:val="00B42815"/>
    <w:rsid w:val="00B47ECE"/>
    <w:rsid w:val="00B6452B"/>
    <w:rsid w:val="00B7244D"/>
    <w:rsid w:val="00B75129"/>
    <w:rsid w:val="00B95977"/>
    <w:rsid w:val="00BA2849"/>
    <w:rsid w:val="00BA3A4E"/>
    <w:rsid w:val="00BB709B"/>
    <w:rsid w:val="00C027A2"/>
    <w:rsid w:val="00C46A6F"/>
    <w:rsid w:val="00C551B7"/>
    <w:rsid w:val="00C677EF"/>
    <w:rsid w:val="00C8180E"/>
    <w:rsid w:val="00C85901"/>
    <w:rsid w:val="00CB407E"/>
    <w:rsid w:val="00CC1945"/>
    <w:rsid w:val="00CC1B71"/>
    <w:rsid w:val="00CD6F0E"/>
    <w:rsid w:val="00CE11A1"/>
    <w:rsid w:val="00CE1F55"/>
    <w:rsid w:val="00CE316F"/>
    <w:rsid w:val="00CE3C07"/>
    <w:rsid w:val="00CE62F6"/>
    <w:rsid w:val="00CF3BD4"/>
    <w:rsid w:val="00D24328"/>
    <w:rsid w:val="00D36A70"/>
    <w:rsid w:val="00D66F19"/>
    <w:rsid w:val="00D73F03"/>
    <w:rsid w:val="00D92BA0"/>
    <w:rsid w:val="00DA48FA"/>
    <w:rsid w:val="00DC783A"/>
    <w:rsid w:val="00DD054C"/>
    <w:rsid w:val="00DD4AE9"/>
    <w:rsid w:val="00DD4C71"/>
    <w:rsid w:val="00DD5334"/>
    <w:rsid w:val="00DF1BE8"/>
    <w:rsid w:val="00DF40A9"/>
    <w:rsid w:val="00E0599F"/>
    <w:rsid w:val="00E356EF"/>
    <w:rsid w:val="00E50C28"/>
    <w:rsid w:val="00E5160B"/>
    <w:rsid w:val="00E6331E"/>
    <w:rsid w:val="00E7151D"/>
    <w:rsid w:val="00E75D99"/>
    <w:rsid w:val="00E840DD"/>
    <w:rsid w:val="00E94D8E"/>
    <w:rsid w:val="00EF79A8"/>
    <w:rsid w:val="00F03445"/>
    <w:rsid w:val="00F123BB"/>
    <w:rsid w:val="00F1465D"/>
    <w:rsid w:val="00F1692E"/>
    <w:rsid w:val="00F250EB"/>
    <w:rsid w:val="00F34ABC"/>
    <w:rsid w:val="00F350C1"/>
    <w:rsid w:val="00F53578"/>
    <w:rsid w:val="00F56ABD"/>
    <w:rsid w:val="00F66632"/>
    <w:rsid w:val="00F6779E"/>
    <w:rsid w:val="00F67F4D"/>
    <w:rsid w:val="00F753D1"/>
    <w:rsid w:val="00F836D0"/>
    <w:rsid w:val="00F84216"/>
    <w:rsid w:val="00F85A05"/>
    <w:rsid w:val="00F923E0"/>
    <w:rsid w:val="00F9422C"/>
    <w:rsid w:val="00FC00B1"/>
    <w:rsid w:val="00FC2E44"/>
    <w:rsid w:val="00FD39AA"/>
    <w:rsid w:val="00FD5EC7"/>
    <w:rsid w:val="00FE1475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999279627184362"/>
          <c:y val="0.10315495406083759"/>
          <c:w val="0.7714866410929403"/>
          <c:h val="0.812589228046084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'H28'!$I$18</c:f>
              <c:strCache>
                <c:ptCount val="1"/>
                <c:pt idx="0">
                  <c:v>住宅用(10kW未満)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#,##0.0_);[Red]\(#,##0.0\)" sourceLinked="0"/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'H28'!$M$4:$W$4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'H28'!$M$18:$W$18</c:f>
              <c:numCache>
                <c:formatCode>#,##0.0;[Red]\-#,##0.0</c:formatCode>
                <c:ptCount val="11"/>
                <c:pt idx="0">
                  <c:v>5.1205999999999996</c:v>
                </c:pt>
                <c:pt idx="1">
                  <c:v>6.2938999999999998</c:v>
                </c:pt>
                <c:pt idx="2">
                  <c:v>7.5750999999999999</c:v>
                </c:pt>
                <c:pt idx="3">
                  <c:v>8.9273710000000008</c:v>
                </c:pt>
                <c:pt idx="4">
                  <c:v>11.423125000000001</c:v>
                </c:pt>
                <c:pt idx="5">
                  <c:v>14.932182999999998</c:v>
                </c:pt>
                <c:pt idx="6">
                  <c:v>20.576126000000002</c:v>
                </c:pt>
                <c:pt idx="7">
                  <c:v>25.886678000000003</c:v>
                </c:pt>
                <c:pt idx="8">
                  <c:v>29.934609999999999</c:v>
                </c:pt>
                <c:pt idx="9">
                  <c:v>33.473769999999995</c:v>
                </c:pt>
                <c:pt idx="10" formatCode="General">
                  <c:v>36.5</c:v>
                </c:pt>
              </c:numCache>
            </c:numRef>
          </c:val>
        </c:ser>
        <c:ser>
          <c:idx val="1"/>
          <c:order val="1"/>
          <c:tx>
            <c:strRef>
              <c:f>'H28'!$I$19</c:f>
              <c:strCache>
                <c:ptCount val="1"/>
                <c:pt idx="0">
                  <c:v>非住宅用(10kW以上)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6028530786662904E-7"/>
                  <c:y val="-2.0942408376963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0942408376963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028530784796938E-7"/>
                  <c:y val="-2.0942408376963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370051661338109E-3"/>
                  <c:y val="-3.1616527504565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3.5070993262564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8231780167264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);[Red]\(#,##0.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'H28'!$M$4:$W$4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'H28'!$M$19:$W$19</c:f>
              <c:numCache>
                <c:formatCode>#,##0.0;[Red]\-#,##0.0</c:formatCode>
                <c:ptCount val="11"/>
                <c:pt idx="0">
                  <c:v>0.57159600200000005</c:v>
                </c:pt>
                <c:pt idx="1">
                  <c:v>0.67079234200000004</c:v>
                </c:pt>
                <c:pt idx="2">
                  <c:v>0.73659624000000001</c:v>
                </c:pt>
                <c:pt idx="3">
                  <c:v>2.3807751399999999</c:v>
                </c:pt>
                <c:pt idx="4">
                  <c:v>2.8440283000000002</c:v>
                </c:pt>
                <c:pt idx="5">
                  <c:v>2.926150513000001</c:v>
                </c:pt>
                <c:pt idx="6">
                  <c:v>5.9619297629999997</c:v>
                </c:pt>
                <c:pt idx="7">
                  <c:v>20.546417586999993</c:v>
                </c:pt>
                <c:pt idx="8">
                  <c:v>34.557806612</c:v>
                </c:pt>
                <c:pt idx="9">
                  <c:v>42.613551999999999</c:v>
                </c:pt>
                <c:pt idx="10" formatCode="General">
                  <c:v>46.7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7"/>
        <c:overlap val="100"/>
        <c:axId val="82676736"/>
        <c:axId val="187097664"/>
      </c:barChart>
      <c:catAx>
        <c:axId val="82676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/>
                </a:pPr>
                <a:r>
                  <a:rPr lang="ja-JP" altLang="en-US" sz="1000" b="0"/>
                  <a:t>（年度）</a:t>
                </a:r>
                <a:endParaRPr lang="en-US" altLang="ja-JP" sz="1000" b="0"/>
              </a:p>
            </c:rich>
          </c:tx>
          <c:layout>
            <c:manualLayout>
              <c:xMode val="edge"/>
              <c:yMode val="edge"/>
              <c:x val="0.91390851727325262"/>
              <c:y val="0.902939040895402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7097664"/>
        <c:crosses val="autoZero"/>
        <c:auto val="1"/>
        <c:lblAlgn val="ctr"/>
        <c:lblOffset val="100"/>
        <c:noMultiLvlLbl val="0"/>
      </c:catAx>
      <c:valAx>
        <c:axId val="187097664"/>
        <c:scaling>
          <c:orientation val="minMax"/>
          <c:max val="9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="0"/>
                </a:pPr>
                <a:r>
                  <a:rPr lang="ja-JP" altLang="en-US" sz="1000" b="0"/>
                  <a:t>（万</a:t>
                </a:r>
                <a:r>
                  <a:rPr lang="en-US" altLang="ja-JP" sz="1000" b="0"/>
                  <a:t>kW</a:t>
                </a:r>
                <a:r>
                  <a:rPr lang="ja-JP" altLang="en-US" sz="1000" b="0"/>
                  <a:t>）</a:t>
                </a:r>
              </a:p>
            </c:rich>
          </c:tx>
          <c:layout>
            <c:manualLayout>
              <c:xMode val="edge"/>
              <c:yMode val="edge"/>
              <c:x val="5.1320149866762838E-2"/>
              <c:y val="2.7426819405645193E-2"/>
            </c:manualLayout>
          </c:layout>
          <c:overlay val="0"/>
        </c:title>
        <c:numFmt formatCode="#,##0_);[Red]\(#,##0\)" sourceLinked="0"/>
        <c:majorTickMark val="out"/>
        <c:minorTickMark val="none"/>
        <c:tickLblPos val="nextTo"/>
        <c:crossAx val="82676736"/>
        <c:crosses val="autoZero"/>
        <c:crossBetween val="between"/>
      </c:valAx>
      <c:spPr>
        <a:ln>
          <a:solidFill>
            <a:srgbClr val="000000"/>
          </a:solidFill>
        </a:ln>
      </c:spPr>
    </c:plotArea>
    <c:legend>
      <c:legendPos val="r"/>
      <c:layout>
        <c:manualLayout>
          <c:xMode val="edge"/>
          <c:yMode val="edge"/>
          <c:x val="0.14084395953611242"/>
          <c:y val="0.1214357417398399"/>
          <c:w val="0.29621876752585413"/>
          <c:h val="0.12703110717900801"/>
        </c:manualLayout>
      </c:layout>
      <c:overlay val="1"/>
      <c:spPr>
        <a:solidFill>
          <a:schemeClr val="bg1"/>
        </a:solidFill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0.63412</cdr:x>
      <cdr:y>0.42723</cdr:y>
    </cdr:from>
    <cdr:to>
      <cdr:x>0.67993</cdr:x>
      <cdr:y>0.47697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953527" y="1514637"/>
          <a:ext cx="285609" cy="17634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 algn="ctr"/>
          <a:r>
            <a:rPr lang="en-US" altLang="ja-JP" sz="1100" b="1" u="sng"/>
            <a:t>46.4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0.56242</cdr:x>
      <cdr:y>0.59817</cdr:y>
    </cdr:from>
    <cdr:to>
      <cdr:x>0.60822</cdr:x>
      <cdr:y>0.64791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3133878" y="1589619"/>
          <a:ext cx="255203" cy="13218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26.5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0.49009</cdr:x>
      <cdr:y>0.64311</cdr:y>
    </cdr:from>
    <cdr:to>
      <cdr:x>0.53589</cdr:x>
      <cdr:y>0.69892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2730846" y="1709043"/>
          <a:ext cx="255203" cy="14833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17.9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0.42055</cdr:x>
      <cdr:y>0.67222</cdr:y>
    </cdr:from>
    <cdr:to>
      <cdr:x>0.46635</cdr:x>
      <cdr:y>0.71468</cdr:y>
    </cdr:to>
    <cdr:sp macro="" textlink="">
      <cdr:nvSpPr>
        <cdr:cNvPr id="5" name="テキスト ボックス 1"/>
        <cdr:cNvSpPr txBox="1"/>
      </cdr:nvSpPr>
      <cdr:spPr>
        <a:xfrm xmlns:a="http://schemas.openxmlformats.org/drawingml/2006/main">
          <a:off x="2343364" y="1786398"/>
          <a:ext cx="255203" cy="11283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14.3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0.35077</cdr:x>
      <cdr:y>0.69703</cdr:y>
    </cdr:from>
    <cdr:to>
      <cdr:x>0.39658</cdr:x>
      <cdr:y>0.74676</cdr:y>
    </cdr:to>
    <cdr:sp macro="" textlink="">
      <cdr:nvSpPr>
        <cdr:cNvPr id="6" name="テキスト ボックス 1"/>
        <cdr:cNvSpPr txBox="1"/>
      </cdr:nvSpPr>
      <cdr:spPr>
        <a:xfrm xmlns:a="http://schemas.openxmlformats.org/drawingml/2006/main">
          <a:off x="1954541" y="1852352"/>
          <a:ext cx="255259" cy="13215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11.3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0.2833</cdr:x>
      <cdr:y>0.72972</cdr:y>
    </cdr:from>
    <cdr:to>
      <cdr:x>0.3291</cdr:x>
      <cdr:y>0.77945</cdr:y>
    </cdr:to>
    <cdr:sp macro="" textlink="">
      <cdr:nvSpPr>
        <cdr:cNvPr id="7" name="テキスト ボックス 1"/>
        <cdr:cNvSpPr txBox="1"/>
      </cdr:nvSpPr>
      <cdr:spPr>
        <a:xfrm xmlns:a="http://schemas.openxmlformats.org/drawingml/2006/main">
          <a:off x="1578573" y="1939206"/>
          <a:ext cx="255203" cy="13215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8.3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0.14701</cdr:x>
      <cdr:y>0.74608</cdr:y>
    </cdr:from>
    <cdr:to>
      <cdr:x>0.19281</cdr:x>
      <cdr:y>0.80287</cdr:y>
    </cdr:to>
    <cdr:sp macro="" textlink="">
      <cdr:nvSpPr>
        <cdr:cNvPr id="10" name="テキスト ボックス 1"/>
        <cdr:cNvSpPr txBox="1"/>
      </cdr:nvSpPr>
      <cdr:spPr>
        <a:xfrm xmlns:a="http://schemas.openxmlformats.org/drawingml/2006/main">
          <a:off x="819150" y="1982686"/>
          <a:ext cx="255204" cy="15091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5.7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0.21428</cdr:x>
      <cdr:y>0.74123</cdr:y>
    </cdr:from>
    <cdr:to>
      <cdr:x>0.26008</cdr:x>
      <cdr:y>0.79096</cdr:y>
    </cdr:to>
    <cdr:sp macro="" textlink="">
      <cdr:nvSpPr>
        <cdr:cNvPr id="11" name="テキスト ボックス 1"/>
        <cdr:cNvSpPr txBox="1"/>
      </cdr:nvSpPr>
      <cdr:spPr>
        <a:xfrm xmlns:a="http://schemas.openxmlformats.org/drawingml/2006/main">
          <a:off x="1193992" y="1969797"/>
          <a:ext cx="255203" cy="13215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7.0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0.70265</cdr:x>
      <cdr:y>0.25858</cdr:y>
    </cdr:from>
    <cdr:to>
      <cdr:x>0.75144</cdr:x>
      <cdr:y>0.30972</cdr:y>
    </cdr:to>
    <cdr:sp macro="" textlink="">
      <cdr:nvSpPr>
        <cdr:cNvPr id="12" name="テキスト ボックス 1"/>
        <cdr:cNvSpPr txBox="1"/>
      </cdr:nvSpPr>
      <cdr:spPr>
        <a:xfrm xmlns:a="http://schemas.openxmlformats.org/drawingml/2006/main">
          <a:off x="4380741" y="916742"/>
          <a:ext cx="304189" cy="18130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64.5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0.77188</cdr:x>
      <cdr:y>0.15315</cdr:y>
    </cdr:from>
    <cdr:to>
      <cdr:x>0.8177</cdr:x>
      <cdr:y>0.20289</cdr:y>
    </cdr:to>
    <cdr:sp macro="" textlink="">
      <cdr:nvSpPr>
        <cdr:cNvPr id="13" name="テキスト ボックス 1"/>
        <cdr:cNvSpPr txBox="1"/>
      </cdr:nvSpPr>
      <cdr:spPr>
        <a:xfrm xmlns:a="http://schemas.openxmlformats.org/drawingml/2006/main">
          <a:off x="4812398" y="542964"/>
          <a:ext cx="285671" cy="17634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76.1</a:t>
          </a:r>
          <a:r>
            <a:rPr lang="en-US" altLang="ja-JP" sz="1100" b="1" u="sng" baseline="0"/>
            <a:t> </a:t>
          </a:r>
          <a:endParaRPr lang="ja-JP" altLang="en-US" sz="1100" b="1" u="sng"/>
        </a:p>
      </cdr:txBody>
    </cdr:sp>
  </cdr:relSizeAnchor>
  <cdr:relSizeAnchor xmlns:cdr="http://schemas.openxmlformats.org/drawingml/2006/chartDrawing">
    <cdr:from>
      <cdr:x>0.84148</cdr:x>
      <cdr:y>0.11111</cdr:y>
    </cdr:from>
    <cdr:to>
      <cdr:x>0.8873</cdr:x>
      <cdr:y>0.16085</cdr:y>
    </cdr:to>
    <cdr:sp macro="" textlink="">
      <cdr:nvSpPr>
        <cdr:cNvPr id="14" name="テキスト ボックス 1"/>
        <cdr:cNvSpPr txBox="1"/>
      </cdr:nvSpPr>
      <cdr:spPr>
        <a:xfrm xmlns:a="http://schemas.openxmlformats.org/drawingml/2006/main">
          <a:off x="4688832" y="295275"/>
          <a:ext cx="255315" cy="13218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ja-JP" sz="1100" b="1" u="sng"/>
            <a:t>83.2</a:t>
          </a:r>
          <a:r>
            <a:rPr lang="en-US" altLang="ja-JP" sz="1100" b="1" u="sng" baseline="0"/>
            <a:t> </a:t>
          </a:r>
          <a:endParaRPr lang="ja-JP" altLang="en-US" sz="1100" b="1" u="sng"/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9DC6-25E8-4095-A651-60936443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山本　祐一</cp:lastModifiedBy>
  <cp:revision>3</cp:revision>
  <cp:lastPrinted>2017-03-15T05:42:00Z</cp:lastPrinted>
  <dcterms:created xsi:type="dcterms:W3CDTF">2018-03-12T01:00:00Z</dcterms:created>
  <dcterms:modified xsi:type="dcterms:W3CDTF">2018-03-13T03:49:00Z</dcterms:modified>
</cp:coreProperties>
</file>