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3" w:rsidRPr="00D64E30" w:rsidRDefault="00E967FE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28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大阪府</w:t>
      </w:r>
      <w:r w:rsidR="00251239"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猛暑対策</w:t>
      </w:r>
      <w:r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検討会議</w:t>
      </w:r>
      <w:r w:rsidR="00FA2054" w:rsidRPr="00D64E30"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設置要綱</w:t>
      </w:r>
    </w:p>
    <w:p w:rsidR="00F77E1D" w:rsidRPr="00251239" w:rsidRDefault="00F77E1D" w:rsidP="00D64E30">
      <w:pPr>
        <w:autoSpaceDE w:val="0"/>
        <w:autoSpaceDN w:val="0"/>
        <w:adjustRightInd w:val="0"/>
        <w:spacing w:line="320" w:lineRule="exact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D83011" w:rsidRDefault="00A5651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第１</w:t>
      </w:r>
      <w:r w:rsidR="00F51ED3"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目的</w:t>
      </w:r>
    </w:p>
    <w:p w:rsidR="002C7357" w:rsidRPr="00D83011" w:rsidRDefault="00555BF7" w:rsidP="00E7347E">
      <w:pPr>
        <w:autoSpaceDE w:val="0"/>
        <w:autoSpaceDN w:val="0"/>
        <w:adjustRightInd w:val="0"/>
        <w:ind w:firstLineChars="100" w:firstLine="24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大阪府域における</w:t>
      </w:r>
      <w:r w:rsidR="002512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猛暑対策</w:t>
      </w:r>
      <w:r w:rsidR="00283A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について</w:t>
      </w:r>
      <w:r w:rsidR="001064DA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、</w:t>
      </w:r>
      <w:r w:rsidR="00535E05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学識経験その他専門的知見を有する者（以下「学識経験者等」という。）</w:t>
      </w:r>
      <w:r w:rsidR="00E74500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と</w:t>
      </w:r>
      <w:r w:rsidR="00C3412C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幅広い観点から意見交換を行</w:t>
      </w:r>
      <w:r w:rsidR="001064DA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う</w:t>
      </w:r>
      <w:r w:rsidR="00737BA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ことを目的として、</w:t>
      </w:r>
      <w:r w:rsidR="00E967F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</w:t>
      </w:r>
      <w:r w:rsidR="00B329B3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府</w:t>
      </w:r>
      <w:r w:rsidR="002512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猛暑対策</w:t>
      </w:r>
      <w:r w:rsidR="00E967F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検討会議</w:t>
      </w:r>
      <w:r w:rsid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（以下「</w:t>
      </w:r>
      <w:r w:rsidR="00E967F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検討会議</w:t>
      </w:r>
      <w:r w:rsidR="00250164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」という。）を設置する。</w:t>
      </w:r>
    </w:p>
    <w:p w:rsidR="00684647" w:rsidRPr="00D83011" w:rsidRDefault="00684647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22103F" w:rsidRPr="00D83011" w:rsidRDefault="0022103F" w:rsidP="002210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第２</w:t>
      </w:r>
      <w:r w:rsidR="00D83011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意見交換</w:t>
      </w: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事項</w:t>
      </w:r>
    </w:p>
    <w:p w:rsidR="0022103F" w:rsidRPr="00D83011" w:rsidRDefault="0022103F" w:rsidP="00E7347E">
      <w:pPr>
        <w:autoSpaceDE w:val="0"/>
        <w:autoSpaceDN w:val="0"/>
        <w:adjustRightInd w:val="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E967F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検討会議</w:t>
      </w:r>
      <w:r w:rsidR="00535E0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では、</w:t>
      </w:r>
      <w:r w:rsidR="00283A69" w:rsidRPr="00283A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緊急的に実施可能な対策、府民等が取り組みやすい対策、中長期的な対策や効果的な普及啓発のあり方など</w:t>
      </w:r>
      <w:r w:rsidR="002512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</w:t>
      </w:r>
      <w:r w:rsidR="00A65F0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関する意見交換を行う。</w:t>
      </w:r>
    </w:p>
    <w:p w:rsidR="0022103F" w:rsidRPr="00E7347E" w:rsidRDefault="0022103F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D83011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22103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250164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組織</w:t>
      </w:r>
    </w:p>
    <w:p w:rsidR="00AE66AF" w:rsidRPr="00D83011" w:rsidRDefault="006916FD" w:rsidP="00E7347E">
      <w:pPr>
        <w:autoSpaceDE w:val="0"/>
        <w:autoSpaceDN w:val="0"/>
        <w:adjustRightInd w:val="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E3418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検討会議</w:t>
      </w:r>
      <w:r w:rsidR="00AE66A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</w:t>
      </w:r>
      <w:r w:rsidR="0017266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別表に掲げる</w:t>
      </w:r>
      <w:r w:rsidR="00250164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学識経験者等</w:t>
      </w:r>
      <w:r w:rsidR="0017266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</w:t>
      </w:r>
      <w:r w:rsidR="00AE66A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関係行政機関で構成する。</w:t>
      </w:r>
      <w:r w:rsidR="00777EB0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なお、必要に応じて構成員以外の者を検討会議に出席させ、意見を求めることができる。</w:t>
      </w:r>
    </w:p>
    <w:p w:rsidR="00312D26" w:rsidRPr="00D83011" w:rsidRDefault="00312D26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A56513" w:rsidRPr="00D83011" w:rsidRDefault="00F51ED3" w:rsidP="00A565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22103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４</w:t>
      </w:r>
      <w:r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会議</w:t>
      </w:r>
    </w:p>
    <w:p w:rsidR="00250164" w:rsidRPr="00D83011" w:rsidRDefault="00E34187" w:rsidP="00312D26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検討会議</w:t>
      </w:r>
      <w:r w:rsidR="00F51ED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</w:t>
      </w:r>
      <w:r w:rsidR="00A5651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大阪府が</w:t>
      </w:r>
      <w:r w:rsidR="00F51ED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招集</w:t>
      </w:r>
      <w:r w:rsidR="00A5651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する。</w:t>
      </w:r>
    </w:p>
    <w:p w:rsidR="00250164" w:rsidRPr="00E34187" w:rsidRDefault="00250164" w:rsidP="00E7450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74500" w:rsidRDefault="00E74500" w:rsidP="00E7450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第５ 座長</w:t>
      </w:r>
    </w:p>
    <w:p w:rsidR="00E74500" w:rsidRPr="00ED1139" w:rsidRDefault="00E74500" w:rsidP="00E7450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ED1139"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意見交換を</w:t>
      </w:r>
      <w:r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円滑</w:t>
      </w:r>
      <w:r w:rsidR="00ED1139"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に進めるため</w:t>
      </w:r>
      <w:r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、</w:t>
      </w:r>
      <w:r w:rsidR="00E3418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検討会議</w:t>
      </w:r>
      <w:r w:rsidR="00B07577"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</w:t>
      </w:r>
      <w:r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座長を置く。</w:t>
      </w:r>
    </w:p>
    <w:p w:rsidR="00E74500" w:rsidRPr="00E34187" w:rsidRDefault="00E74500" w:rsidP="00E7450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D83011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5F13F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６</w:t>
      </w:r>
      <w:r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A5651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設置期間</w:t>
      </w:r>
    </w:p>
    <w:p w:rsidR="00A56513" w:rsidRDefault="00A5651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E3418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検討会議</w:t>
      </w:r>
      <w:r w:rsidR="00312D26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の設置期間</w:t>
      </w:r>
      <w:r w:rsid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は、第１</w:t>
      </w:r>
      <w:r w:rsidR="0059748D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に掲げる</w:t>
      </w:r>
      <w:r w:rsid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目的を達成</w:t>
      </w:r>
      <w:r w:rsidR="0059748D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するまでとする</w:t>
      </w:r>
      <w:r w:rsidR="00DC6430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。</w:t>
      </w:r>
    </w:p>
    <w:p w:rsidR="006916FD" w:rsidRPr="00E34187" w:rsidRDefault="006916FD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6916FD" w:rsidRPr="006916FD" w:rsidRDefault="005F13FC" w:rsidP="006916F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第７</w:t>
      </w:r>
      <w:r w:rsid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謝礼等</w:t>
      </w:r>
    </w:p>
    <w:p w:rsidR="001D5BE3" w:rsidRPr="001D5BE3" w:rsidRDefault="006916FD" w:rsidP="00AE7D98">
      <w:pPr>
        <w:autoSpaceDE w:val="0"/>
        <w:autoSpaceDN w:val="0"/>
        <w:adjustRightInd w:val="0"/>
        <w:ind w:firstLineChars="100" w:firstLine="24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学識経験者等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に対する謝礼</w:t>
      </w:r>
      <w:r w:rsidR="003C747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の額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</w:t>
      </w:r>
      <w:r w:rsidRP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日額九千八百円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とする。</w:t>
      </w:r>
      <w:r w:rsidR="003C747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また、学識経験者等に対する費用弁償の額は、</w:t>
      </w:r>
      <w:r w:rsidR="009F1E2C" w:rsidRPr="009F1E2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職員の旅費に関する条例（昭和四十年大阪府条例第三十七号）による指定職等の職務にある者以外の者の額相当額</w:t>
      </w:r>
      <w:r w:rsidR="009F1E2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と</w:t>
      </w:r>
      <w:r w:rsidR="003C747E" w:rsidRP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する。</w:t>
      </w:r>
      <w:r w:rsidR="005B5500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ただし、費用弁償の支給についての路程は、住所地の市町村から起算する。</w:t>
      </w:r>
    </w:p>
    <w:p w:rsidR="00015801" w:rsidRPr="003C747E" w:rsidRDefault="00015801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015801" w:rsidRDefault="005F13FC" w:rsidP="000158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第８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事務局</w:t>
      </w:r>
    </w:p>
    <w:p w:rsidR="00AE7D98" w:rsidRDefault="00685351" w:rsidP="000158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検討会議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の事務局を大阪府環境農林水産部</w:t>
      </w:r>
      <w:r w:rsidR="002512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エネルギー政策課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に置く。</w:t>
      </w:r>
    </w:p>
    <w:p w:rsidR="00AE7D98" w:rsidRDefault="00AE7D98" w:rsidP="000158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3A404A" w:rsidRDefault="003A404A" w:rsidP="000158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AE7D98" w:rsidRPr="003A404A" w:rsidRDefault="00AE7D98" w:rsidP="000158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3A404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lastRenderedPageBreak/>
        <w:t>第９ その他</w:t>
      </w:r>
    </w:p>
    <w:p w:rsidR="00AE7D98" w:rsidRPr="003A404A" w:rsidRDefault="00AE7D98" w:rsidP="00AE7D98">
      <w:pPr>
        <w:suppressAutoHyphens/>
        <w:snapToGrid w:val="0"/>
        <w:spacing w:line="20" w:lineRule="atLeast"/>
        <w:ind w:leftChars="1" w:left="480" w:hangingChars="199" w:hanging="478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3A404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3A404A">
        <w:rPr>
          <w:rFonts w:ascii="ＭＳ ゴシック" w:eastAsia="ＭＳ ゴシック" w:hAnsi="Times New Roman" w:hint="eastAsia"/>
          <w:kern w:val="0"/>
          <w:sz w:val="24"/>
        </w:rPr>
        <w:t>この要綱に定めるもののほか、検討会議の運営について必要な事項は、大阪府が定め</w:t>
      </w:r>
    </w:p>
    <w:p w:rsidR="00AE7D98" w:rsidRPr="003A404A" w:rsidRDefault="00AE7D98" w:rsidP="00AE7D98">
      <w:pPr>
        <w:suppressAutoHyphens/>
        <w:snapToGrid w:val="0"/>
        <w:spacing w:line="20" w:lineRule="atLeast"/>
        <w:ind w:leftChars="1" w:left="480" w:hangingChars="199" w:hanging="478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3A404A">
        <w:rPr>
          <w:rFonts w:ascii="ＭＳ ゴシック" w:eastAsia="ＭＳ ゴシック" w:hAnsi="Times New Roman" w:hint="eastAsia"/>
          <w:kern w:val="0"/>
          <w:sz w:val="24"/>
        </w:rPr>
        <w:t>る。</w:t>
      </w:r>
    </w:p>
    <w:p w:rsidR="005B5500" w:rsidRPr="00251239" w:rsidRDefault="005B5500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6C44C3" w:rsidRPr="00D83011" w:rsidRDefault="006C44C3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附　則</w:t>
      </w:r>
    </w:p>
    <w:p w:rsidR="006C44C3" w:rsidRDefault="00DC6430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この要綱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は、平成</w:t>
      </w:r>
      <w:r w:rsidR="0005006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30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年</w:t>
      </w:r>
      <w:r w:rsidR="0005006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11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月</w:t>
      </w:r>
      <w:r w:rsidR="0005006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30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日から施行する。</w:t>
      </w:r>
    </w:p>
    <w:p w:rsidR="00834082" w:rsidRDefault="00834082" w:rsidP="00053740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834082" w:rsidRPr="003E7207" w:rsidRDefault="00834082" w:rsidP="00834082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3E720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附　則</w:t>
      </w:r>
    </w:p>
    <w:p w:rsidR="00834082" w:rsidRDefault="003E7207" w:rsidP="00834082">
      <w:pPr>
        <w:spacing w:line="360" w:lineRule="exac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3E720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この要綱は、令和２年１月30</w:t>
      </w:r>
      <w:r w:rsidR="00834082" w:rsidRPr="003E720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日に廃止する。</w:t>
      </w:r>
    </w:p>
    <w:p w:rsidR="003E7207" w:rsidRPr="003E7207" w:rsidRDefault="003E7207" w:rsidP="00834082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053740" w:rsidRPr="00904682" w:rsidRDefault="00053740" w:rsidP="00053740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904682">
        <w:rPr>
          <w:rFonts w:asciiTheme="majorEastAsia" w:eastAsiaTheme="majorEastAsia" w:hAnsiTheme="majorEastAsia" w:cs="Meiryo UI" w:hint="eastAsia"/>
          <w:b/>
          <w:sz w:val="24"/>
          <w:szCs w:val="24"/>
        </w:rPr>
        <w:t>別</w:t>
      </w:r>
      <w:r w:rsidR="00E7347E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</w:t>
      </w:r>
      <w:r w:rsidRPr="00904682">
        <w:rPr>
          <w:rFonts w:asciiTheme="majorEastAsia" w:eastAsiaTheme="majorEastAsia" w:hAnsiTheme="majorEastAsia" w:cs="Meiryo UI" w:hint="eastAsia"/>
          <w:b/>
          <w:sz w:val="24"/>
          <w:szCs w:val="24"/>
        </w:rPr>
        <w:t>表</w:t>
      </w:r>
    </w:p>
    <w:p w:rsidR="00053740" w:rsidRDefault="00053740" w:rsidP="00053740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6372"/>
      </w:tblGrid>
      <w:tr w:rsidR="00050068" w:rsidRPr="00E7347E" w:rsidTr="00050068">
        <w:trPr>
          <w:trHeight w:val="737"/>
          <w:jc w:val="center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050068" w:rsidRPr="00E7347E" w:rsidRDefault="00050068" w:rsidP="00050068">
            <w:pPr>
              <w:ind w:right="113" w:firstLineChars="50" w:firstLine="160"/>
              <w:jc w:val="center"/>
              <w:rPr>
                <w:rFonts w:asciiTheme="majorEastAsia" w:eastAsiaTheme="majorEastAsia" w:hAnsiTheme="majorEastAsia" w:cs="Meiryo UI"/>
                <w:spacing w:val="40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pacing w:val="40"/>
                <w:sz w:val="24"/>
                <w:szCs w:val="21"/>
              </w:rPr>
              <w:t>学識経験者等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50068" w:rsidRPr="00E7347E" w:rsidRDefault="00050068" w:rsidP="00A23E9C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井上　芳光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vAlign w:val="center"/>
          </w:tcPr>
          <w:p w:rsidR="00050068" w:rsidRPr="00E7347E" w:rsidRDefault="00050068" w:rsidP="00A23E9C">
            <w:pPr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大阪国際大学　教授</w:t>
            </w:r>
          </w:p>
        </w:tc>
      </w:tr>
      <w:tr w:rsidR="00050068" w:rsidRPr="00E7347E" w:rsidTr="00050068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50068" w:rsidRPr="00E7347E" w:rsidRDefault="00050068" w:rsidP="00A23E9C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下田　吉之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vAlign w:val="center"/>
          </w:tcPr>
          <w:p w:rsidR="00050068" w:rsidRPr="00E7347E" w:rsidRDefault="00050068" w:rsidP="00A23E9C">
            <w:pPr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大阪大学大学院　教授</w:t>
            </w:r>
          </w:p>
        </w:tc>
      </w:tr>
      <w:tr w:rsidR="00050068" w:rsidRPr="00E7347E" w:rsidTr="00050068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50068" w:rsidRPr="00E7347E" w:rsidRDefault="00050068" w:rsidP="00A23E9C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鍋島　美奈子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vAlign w:val="center"/>
          </w:tcPr>
          <w:p w:rsidR="00050068" w:rsidRPr="00E7347E" w:rsidRDefault="00050068" w:rsidP="00A23E9C">
            <w:pPr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大阪市立大学大学院　准教授</w:t>
            </w:r>
          </w:p>
        </w:tc>
      </w:tr>
      <w:tr w:rsidR="00050068" w:rsidRPr="00E7347E" w:rsidTr="00050068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50068" w:rsidRPr="00E7347E" w:rsidRDefault="00050068" w:rsidP="00A23E9C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増田　昇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vAlign w:val="center"/>
          </w:tcPr>
          <w:p w:rsidR="00050068" w:rsidRPr="00E7347E" w:rsidRDefault="00050068" w:rsidP="00A23E9C">
            <w:pPr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大阪府立大学研究推進機構　特認教授</w:t>
            </w:r>
          </w:p>
        </w:tc>
      </w:tr>
      <w:tr w:rsidR="00050068" w:rsidRPr="00E7347E" w:rsidTr="00050068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50068" w:rsidRPr="00E7347E" w:rsidRDefault="00050068" w:rsidP="00A23E9C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森山　正和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vAlign w:val="center"/>
          </w:tcPr>
          <w:p w:rsidR="00050068" w:rsidRPr="00E7347E" w:rsidRDefault="00050068" w:rsidP="00A23E9C">
            <w:pPr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神戸大学　名誉教授</w:t>
            </w:r>
          </w:p>
        </w:tc>
      </w:tr>
      <w:tr w:rsidR="00050068" w:rsidRPr="00E7347E" w:rsidTr="00050068">
        <w:trPr>
          <w:trHeight w:val="737"/>
          <w:jc w:val="center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050068" w:rsidRPr="00E7347E" w:rsidRDefault="00535E05" w:rsidP="00050068">
            <w:pPr>
              <w:ind w:right="113" w:firstLineChars="50" w:firstLine="16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pacing w:val="40"/>
                <w:sz w:val="24"/>
                <w:szCs w:val="21"/>
              </w:rPr>
              <w:t>関係行政機関</w:t>
            </w:r>
          </w:p>
        </w:tc>
        <w:tc>
          <w:tcPr>
            <w:tcW w:w="8499" w:type="dxa"/>
            <w:gridSpan w:val="2"/>
            <w:vAlign w:val="center"/>
          </w:tcPr>
          <w:p w:rsidR="00050068" w:rsidRPr="00E7347E" w:rsidRDefault="00535E05" w:rsidP="009178AA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気象庁大阪管区気象台</w:t>
            </w:r>
          </w:p>
        </w:tc>
      </w:tr>
      <w:tr w:rsidR="00535E05" w:rsidRPr="00E7347E" w:rsidTr="00050068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535E05" w:rsidRDefault="00535E05" w:rsidP="00050068">
            <w:pPr>
              <w:ind w:right="113" w:firstLineChars="50" w:firstLine="160"/>
              <w:jc w:val="center"/>
              <w:rPr>
                <w:rFonts w:asciiTheme="majorEastAsia" w:eastAsiaTheme="majorEastAsia" w:hAnsiTheme="majorEastAsia" w:cs="Meiryo UI"/>
                <w:spacing w:val="40"/>
                <w:sz w:val="24"/>
                <w:szCs w:val="21"/>
              </w:rPr>
            </w:pPr>
          </w:p>
        </w:tc>
        <w:tc>
          <w:tcPr>
            <w:tcW w:w="8499" w:type="dxa"/>
            <w:gridSpan w:val="2"/>
            <w:vAlign w:val="center"/>
          </w:tcPr>
          <w:p w:rsidR="00535E05" w:rsidRPr="00E7347E" w:rsidRDefault="00535E05" w:rsidP="009178AA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環境省近畿地方環境事務所</w:t>
            </w:r>
          </w:p>
        </w:tc>
      </w:tr>
      <w:tr w:rsidR="00535E05" w:rsidRPr="00E7347E" w:rsidTr="00050068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535E05" w:rsidRDefault="00535E05" w:rsidP="00050068">
            <w:pPr>
              <w:ind w:right="113" w:firstLineChars="50" w:firstLine="160"/>
              <w:jc w:val="center"/>
              <w:rPr>
                <w:rFonts w:asciiTheme="majorEastAsia" w:eastAsiaTheme="majorEastAsia" w:hAnsiTheme="majorEastAsia" w:cs="Meiryo UI"/>
                <w:spacing w:val="40"/>
                <w:sz w:val="24"/>
                <w:szCs w:val="21"/>
              </w:rPr>
            </w:pPr>
          </w:p>
        </w:tc>
        <w:tc>
          <w:tcPr>
            <w:tcW w:w="8499" w:type="dxa"/>
            <w:gridSpan w:val="2"/>
            <w:vAlign w:val="center"/>
          </w:tcPr>
          <w:p w:rsidR="00535E05" w:rsidRPr="00E7347E" w:rsidRDefault="00535E05" w:rsidP="009178AA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大阪府</w:t>
            </w:r>
          </w:p>
        </w:tc>
      </w:tr>
      <w:tr w:rsidR="00050068" w:rsidRPr="00E7347E" w:rsidTr="00924904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8499" w:type="dxa"/>
            <w:gridSpan w:val="2"/>
            <w:vAlign w:val="center"/>
          </w:tcPr>
          <w:p w:rsidR="00050068" w:rsidRPr="00E7347E" w:rsidRDefault="00BF05CB" w:rsidP="009178AA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大阪市</w:t>
            </w:r>
          </w:p>
        </w:tc>
      </w:tr>
      <w:tr w:rsidR="00050068" w:rsidRPr="00E7347E" w:rsidTr="009A7AE5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8499" w:type="dxa"/>
            <w:gridSpan w:val="2"/>
            <w:vAlign w:val="center"/>
          </w:tcPr>
          <w:p w:rsidR="00050068" w:rsidRPr="00E7347E" w:rsidRDefault="00BF05CB" w:rsidP="009178AA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堺市</w:t>
            </w:r>
          </w:p>
        </w:tc>
      </w:tr>
      <w:tr w:rsidR="00050068" w:rsidRPr="00E7347E" w:rsidTr="00CD7ED5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8499" w:type="dxa"/>
            <w:gridSpan w:val="2"/>
            <w:vAlign w:val="center"/>
          </w:tcPr>
          <w:p w:rsidR="00050068" w:rsidRPr="00E7347E" w:rsidRDefault="00BF05CB" w:rsidP="009178AA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大阪府市長会</w:t>
            </w:r>
          </w:p>
        </w:tc>
      </w:tr>
      <w:tr w:rsidR="00050068" w:rsidRPr="00E7347E" w:rsidTr="00CD7ED5">
        <w:trPr>
          <w:trHeight w:val="737"/>
          <w:jc w:val="center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050068" w:rsidRPr="00E7347E" w:rsidRDefault="00050068" w:rsidP="00050068">
            <w:pPr>
              <w:ind w:firstLineChars="50" w:firstLine="120"/>
              <w:jc w:val="center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</w:p>
        </w:tc>
        <w:tc>
          <w:tcPr>
            <w:tcW w:w="8499" w:type="dxa"/>
            <w:gridSpan w:val="2"/>
            <w:vAlign w:val="center"/>
          </w:tcPr>
          <w:p w:rsidR="00050068" w:rsidRPr="00E7347E" w:rsidRDefault="00BF05CB" w:rsidP="009178AA">
            <w:pPr>
              <w:ind w:firstLineChars="50" w:firstLine="120"/>
              <w:rPr>
                <w:rFonts w:asciiTheme="majorEastAsia" w:eastAsiaTheme="majorEastAsia" w:hAnsiTheme="majorEastAsia" w:cs="Meiryo UI"/>
                <w:sz w:val="24"/>
                <w:szCs w:val="21"/>
              </w:rPr>
            </w:pPr>
            <w:r w:rsidRPr="00E7347E">
              <w:rPr>
                <w:rFonts w:asciiTheme="majorEastAsia" w:eastAsiaTheme="majorEastAsia" w:hAnsiTheme="majorEastAsia" w:cs="Meiryo UI" w:hint="eastAsia"/>
                <w:sz w:val="24"/>
                <w:szCs w:val="21"/>
              </w:rPr>
              <w:t>大阪府町村長会</w:t>
            </w:r>
          </w:p>
        </w:tc>
      </w:tr>
    </w:tbl>
    <w:p w:rsidR="00053740" w:rsidRDefault="00053740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050068" w:rsidRPr="00053740" w:rsidRDefault="00050068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sectPr w:rsidR="00050068" w:rsidRPr="00053740" w:rsidSect="005F1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E7" w:rsidRDefault="005556E7" w:rsidP="00940F4F">
      <w:r>
        <w:separator/>
      </w:r>
    </w:p>
  </w:endnote>
  <w:endnote w:type="continuationSeparator" w:id="0">
    <w:p w:rsidR="005556E7" w:rsidRDefault="005556E7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25" w:rsidRDefault="004558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25" w:rsidRDefault="004558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25" w:rsidRDefault="004558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E7" w:rsidRDefault="005556E7" w:rsidP="00940F4F">
      <w:r>
        <w:separator/>
      </w:r>
    </w:p>
  </w:footnote>
  <w:footnote w:type="continuationSeparator" w:id="0">
    <w:p w:rsidR="005556E7" w:rsidRDefault="005556E7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25" w:rsidRDefault="004558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25" w:rsidRDefault="004558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25" w:rsidRDefault="00455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3"/>
    <w:rsid w:val="00015801"/>
    <w:rsid w:val="0003212C"/>
    <w:rsid w:val="0003277F"/>
    <w:rsid w:val="00037405"/>
    <w:rsid w:val="0004668F"/>
    <w:rsid w:val="00050068"/>
    <w:rsid w:val="00052E41"/>
    <w:rsid w:val="00053740"/>
    <w:rsid w:val="000625B3"/>
    <w:rsid w:val="00070E97"/>
    <w:rsid w:val="00071949"/>
    <w:rsid w:val="000742E4"/>
    <w:rsid w:val="000903E8"/>
    <w:rsid w:val="00090F64"/>
    <w:rsid w:val="000B798E"/>
    <w:rsid w:val="000C6E55"/>
    <w:rsid w:val="000D323C"/>
    <w:rsid w:val="000D712E"/>
    <w:rsid w:val="000E0114"/>
    <w:rsid w:val="000E3997"/>
    <w:rsid w:val="000E74E6"/>
    <w:rsid w:val="000E7C70"/>
    <w:rsid w:val="000F7538"/>
    <w:rsid w:val="001064DA"/>
    <w:rsid w:val="00116E81"/>
    <w:rsid w:val="00125B0F"/>
    <w:rsid w:val="00135B7B"/>
    <w:rsid w:val="00154112"/>
    <w:rsid w:val="00172665"/>
    <w:rsid w:val="00176973"/>
    <w:rsid w:val="001A0254"/>
    <w:rsid w:val="001B07E1"/>
    <w:rsid w:val="001B6607"/>
    <w:rsid w:val="001C5E35"/>
    <w:rsid w:val="001D5BE3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50164"/>
    <w:rsid w:val="00251239"/>
    <w:rsid w:val="00251C8E"/>
    <w:rsid w:val="00252AC3"/>
    <w:rsid w:val="00263056"/>
    <w:rsid w:val="002631F7"/>
    <w:rsid w:val="002700E7"/>
    <w:rsid w:val="00283A69"/>
    <w:rsid w:val="002C159C"/>
    <w:rsid w:val="002C7357"/>
    <w:rsid w:val="002E041B"/>
    <w:rsid w:val="002F28F8"/>
    <w:rsid w:val="003044C8"/>
    <w:rsid w:val="00305258"/>
    <w:rsid w:val="0031181B"/>
    <w:rsid w:val="00312D26"/>
    <w:rsid w:val="00313C5A"/>
    <w:rsid w:val="003207C2"/>
    <w:rsid w:val="00322241"/>
    <w:rsid w:val="003230E2"/>
    <w:rsid w:val="00327A08"/>
    <w:rsid w:val="003357EB"/>
    <w:rsid w:val="00345CFB"/>
    <w:rsid w:val="00366693"/>
    <w:rsid w:val="00370114"/>
    <w:rsid w:val="00381760"/>
    <w:rsid w:val="00386867"/>
    <w:rsid w:val="003A404A"/>
    <w:rsid w:val="003A5D4B"/>
    <w:rsid w:val="003B0953"/>
    <w:rsid w:val="003B276F"/>
    <w:rsid w:val="003B2FA0"/>
    <w:rsid w:val="003C747E"/>
    <w:rsid w:val="003E0AF5"/>
    <w:rsid w:val="003E7207"/>
    <w:rsid w:val="0040184B"/>
    <w:rsid w:val="00403E53"/>
    <w:rsid w:val="00422F59"/>
    <w:rsid w:val="00455825"/>
    <w:rsid w:val="00460A65"/>
    <w:rsid w:val="004713DB"/>
    <w:rsid w:val="004767FD"/>
    <w:rsid w:val="00491CFA"/>
    <w:rsid w:val="00492A3C"/>
    <w:rsid w:val="004953BC"/>
    <w:rsid w:val="004B2977"/>
    <w:rsid w:val="004D0EB2"/>
    <w:rsid w:val="004D64EE"/>
    <w:rsid w:val="004E070B"/>
    <w:rsid w:val="004F369C"/>
    <w:rsid w:val="005116E5"/>
    <w:rsid w:val="00523CBE"/>
    <w:rsid w:val="005313B7"/>
    <w:rsid w:val="00531AC1"/>
    <w:rsid w:val="00535E05"/>
    <w:rsid w:val="005401DB"/>
    <w:rsid w:val="005556E7"/>
    <w:rsid w:val="00555BF7"/>
    <w:rsid w:val="00577BD1"/>
    <w:rsid w:val="005837EA"/>
    <w:rsid w:val="00583B93"/>
    <w:rsid w:val="0059748D"/>
    <w:rsid w:val="005B350B"/>
    <w:rsid w:val="005B490F"/>
    <w:rsid w:val="005B5500"/>
    <w:rsid w:val="005C1B50"/>
    <w:rsid w:val="005C70D0"/>
    <w:rsid w:val="005D231B"/>
    <w:rsid w:val="005F13FC"/>
    <w:rsid w:val="005F18C7"/>
    <w:rsid w:val="00610692"/>
    <w:rsid w:val="006138FF"/>
    <w:rsid w:val="006376C8"/>
    <w:rsid w:val="00653957"/>
    <w:rsid w:val="00667A39"/>
    <w:rsid w:val="00677023"/>
    <w:rsid w:val="00677462"/>
    <w:rsid w:val="00684647"/>
    <w:rsid w:val="00685351"/>
    <w:rsid w:val="006855F3"/>
    <w:rsid w:val="006916FD"/>
    <w:rsid w:val="006959CB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37BA3"/>
    <w:rsid w:val="007454CD"/>
    <w:rsid w:val="00750C9E"/>
    <w:rsid w:val="00770D42"/>
    <w:rsid w:val="00777EB0"/>
    <w:rsid w:val="007A4F15"/>
    <w:rsid w:val="007C02A8"/>
    <w:rsid w:val="007C41F2"/>
    <w:rsid w:val="007D3D73"/>
    <w:rsid w:val="007D4670"/>
    <w:rsid w:val="007E6730"/>
    <w:rsid w:val="007E68B5"/>
    <w:rsid w:val="007F23CE"/>
    <w:rsid w:val="00811DE6"/>
    <w:rsid w:val="00820EB8"/>
    <w:rsid w:val="00830D16"/>
    <w:rsid w:val="00834082"/>
    <w:rsid w:val="00836D81"/>
    <w:rsid w:val="00843A15"/>
    <w:rsid w:val="00846222"/>
    <w:rsid w:val="00872C56"/>
    <w:rsid w:val="008759CC"/>
    <w:rsid w:val="008D0D1A"/>
    <w:rsid w:val="00910CBA"/>
    <w:rsid w:val="00911743"/>
    <w:rsid w:val="0091238E"/>
    <w:rsid w:val="009178AA"/>
    <w:rsid w:val="00936884"/>
    <w:rsid w:val="00940F4F"/>
    <w:rsid w:val="009521C1"/>
    <w:rsid w:val="0095425C"/>
    <w:rsid w:val="00960E1D"/>
    <w:rsid w:val="009951FD"/>
    <w:rsid w:val="009A14D3"/>
    <w:rsid w:val="009B7B5B"/>
    <w:rsid w:val="009E102C"/>
    <w:rsid w:val="009F0596"/>
    <w:rsid w:val="009F1A6E"/>
    <w:rsid w:val="009F1E2C"/>
    <w:rsid w:val="00A070F7"/>
    <w:rsid w:val="00A217FC"/>
    <w:rsid w:val="00A22C0C"/>
    <w:rsid w:val="00A56513"/>
    <w:rsid w:val="00A625AA"/>
    <w:rsid w:val="00A65F0F"/>
    <w:rsid w:val="00A67556"/>
    <w:rsid w:val="00A71430"/>
    <w:rsid w:val="00A723E0"/>
    <w:rsid w:val="00AA1985"/>
    <w:rsid w:val="00AB6FD9"/>
    <w:rsid w:val="00AC2A06"/>
    <w:rsid w:val="00AC5D23"/>
    <w:rsid w:val="00AE1704"/>
    <w:rsid w:val="00AE3B3F"/>
    <w:rsid w:val="00AE66AF"/>
    <w:rsid w:val="00AE7D98"/>
    <w:rsid w:val="00AF46FE"/>
    <w:rsid w:val="00B07577"/>
    <w:rsid w:val="00B310B6"/>
    <w:rsid w:val="00B319CB"/>
    <w:rsid w:val="00B329B3"/>
    <w:rsid w:val="00B43014"/>
    <w:rsid w:val="00B45EA2"/>
    <w:rsid w:val="00B621A3"/>
    <w:rsid w:val="00B726D5"/>
    <w:rsid w:val="00B72D08"/>
    <w:rsid w:val="00B879EA"/>
    <w:rsid w:val="00B91F62"/>
    <w:rsid w:val="00BA12D9"/>
    <w:rsid w:val="00BA5E3E"/>
    <w:rsid w:val="00BB01F5"/>
    <w:rsid w:val="00BF05CB"/>
    <w:rsid w:val="00BF5477"/>
    <w:rsid w:val="00BF7F10"/>
    <w:rsid w:val="00C01A5C"/>
    <w:rsid w:val="00C03AF6"/>
    <w:rsid w:val="00C05F82"/>
    <w:rsid w:val="00C0788E"/>
    <w:rsid w:val="00C3412C"/>
    <w:rsid w:val="00C351A2"/>
    <w:rsid w:val="00C5359F"/>
    <w:rsid w:val="00C754C1"/>
    <w:rsid w:val="00C75FE5"/>
    <w:rsid w:val="00CA3EFE"/>
    <w:rsid w:val="00CA4215"/>
    <w:rsid w:val="00CC6614"/>
    <w:rsid w:val="00CD3E4E"/>
    <w:rsid w:val="00CE16D9"/>
    <w:rsid w:val="00CE2158"/>
    <w:rsid w:val="00CE55D9"/>
    <w:rsid w:val="00D45103"/>
    <w:rsid w:val="00D64E30"/>
    <w:rsid w:val="00D66FA3"/>
    <w:rsid w:val="00D83011"/>
    <w:rsid w:val="00DC04FE"/>
    <w:rsid w:val="00DC28B2"/>
    <w:rsid w:val="00DC6430"/>
    <w:rsid w:val="00DD376A"/>
    <w:rsid w:val="00DD5AE8"/>
    <w:rsid w:val="00DF3780"/>
    <w:rsid w:val="00DF4332"/>
    <w:rsid w:val="00E34187"/>
    <w:rsid w:val="00E434BA"/>
    <w:rsid w:val="00E5380B"/>
    <w:rsid w:val="00E56406"/>
    <w:rsid w:val="00E632D3"/>
    <w:rsid w:val="00E6627E"/>
    <w:rsid w:val="00E7211E"/>
    <w:rsid w:val="00E7347E"/>
    <w:rsid w:val="00E74500"/>
    <w:rsid w:val="00E74C31"/>
    <w:rsid w:val="00E77219"/>
    <w:rsid w:val="00E84BFC"/>
    <w:rsid w:val="00E967FE"/>
    <w:rsid w:val="00EA63AC"/>
    <w:rsid w:val="00EB0AFF"/>
    <w:rsid w:val="00EC4238"/>
    <w:rsid w:val="00EC5FD8"/>
    <w:rsid w:val="00EC7C01"/>
    <w:rsid w:val="00ED1139"/>
    <w:rsid w:val="00EF14F7"/>
    <w:rsid w:val="00EF7F6D"/>
    <w:rsid w:val="00F375BE"/>
    <w:rsid w:val="00F37B71"/>
    <w:rsid w:val="00F51ED3"/>
    <w:rsid w:val="00F61B99"/>
    <w:rsid w:val="00F646CF"/>
    <w:rsid w:val="00F66C6B"/>
    <w:rsid w:val="00F77E1D"/>
    <w:rsid w:val="00F94ADE"/>
    <w:rsid w:val="00FA004B"/>
    <w:rsid w:val="00FA2054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213B-2B91-4D0F-8A08-D77D88E0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2020-01-31T03:43:00Z</dcterms:created>
  <dcterms:modified xsi:type="dcterms:W3CDTF">2020-01-31T03:43:00Z</dcterms:modified>
</cp:coreProperties>
</file>