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831F69" w:rsidP="00831F69">
      <w:pPr>
        <w:spacing w:line="400" w:lineRule="exact"/>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3701415</wp:posOffset>
                </wp:positionH>
                <wp:positionV relativeFrom="paragraph">
                  <wp:posOffset>-727710</wp:posOffset>
                </wp:positionV>
                <wp:extent cx="914400" cy="50482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chemeClr val="lt1"/>
                        </a:solidFill>
                        <a:ln w="6350">
                          <a:solidFill>
                            <a:prstClr val="black"/>
                          </a:solidFill>
                        </a:ln>
                      </wps:spPr>
                      <wps:txbx>
                        <w:txbxContent>
                          <w:p w:rsidR="00831F69" w:rsidRPr="00831F69" w:rsidRDefault="00831F69">
                            <w:pPr>
                              <w:rPr>
                                <w:rFonts w:hint="eastAsia"/>
                                <w:sz w:val="22"/>
                              </w:rPr>
                            </w:pPr>
                            <w:r w:rsidRPr="00831F69">
                              <w:rPr>
                                <w:rFonts w:hint="eastAsia"/>
                                <w:sz w:val="22"/>
                              </w:rPr>
                              <w:t>資料</w:t>
                            </w:r>
                            <w:r w:rsidRPr="00831F69">
                              <w:rPr>
                                <w:sz w:val="22"/>
                              </w:rPr>
                              <w:t>３　委員意見（中島</w:t>
                            </w:r>
                            <w:r w:rsidRPr="00831F69">
                              <w:rPr>
                                <w:rFonts w:hint="eastAsia"/>
                                <w:sz w:val="22"/>
                              </w:rPr>
                              <w:t>委員</w:t>
                            </w:r>
                            <w:r w:rsidRPr="00831F69">
                              <w:rPr>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1.45pt;margin-top:-57.3pt;width:1in;height:39.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" fillcolor="white [3201]" strokeweight=".5pt">
                <v:textbox>
                  <w:txbxContent>
                    <w:p w:rsidR="00831F69" w:rsidRPr="00831F69" w:rsidRDefault="00831F69">
                      <w:pPr>
                        <w:rPr>
                          <w:rFonts w:hint="eastAsia"/>
                          <w:sz w:val="22"/>
                        </w:rPr>
                      </w:pPr>
                      <w:r w:rsidRPr="00831F69">
                        <w:rPr>
                          <w:rFonts w:hint="eastAsia"/>
                          <w:sz w:val="22"/>
                        </w:rPr>
                        <w:t>資料</w:t>
                      </w:r>
                      <w:r w:rsidRPr="00831F69">
                        <w:rPr>
                          <w:sz w:val="22"/>
                        </w:rPr>
                        <w:t>３　委員意見（中島</w:t>
                      </w:r>
                      <w:r w:rsidRPr="00831F69">
                        <w:rPr>
                          <w:rFonts w:hint="eastAsia"/>
                          <w:sz w:val="22"/>
                        </w:rPr>
                        <w:t>委員</w:t>
                      </w:r>
                      <w:r w:rsidRPr="00831F69">
                        <w:rPr>
                          <w:sz w:val="22"/>
                        </w:rPr>
                        <w:t>）</w:t>
                      </w:r>
                    </w:p>
                  </w:txbxContent>
                </v:textbox>
              </v:shape>
            </w:pict>
          </mc:Fallback>
        </mc:AlternateContent>
      </w:r>
      <w:r w:rsidRPr="00831F69">
        <w:rPr>
          <w:rFonts w:hint="eastAsia"/>
          <w:sz w:val="24"/>
        </w:rPr>
        <w:t>次期環境総合計画の検討にあたっての論点整理に関する意見</w:t>
      </w:r>
    </w:p>
    <w:p w:rsidR="00831F69" w:rsidRPr="00831F69" w:rsidRDefault="00831F69" w:rsidP="00831F69">
      <w:pPr>
        <w:spacing w:line="400" w:lineRule="exact"/>
        <w:jc w:val="center"/>
        <w:rPr>
          <w:rFonts w:hint="eastAsia"/>
          <w:sz w:val="24"/>
        </w:rPr>
      </w:pPr>
    </w:p>
    <w:p w:rsidR="00831F69" w:rsidRPr="00831F69" w:rsidRDefault="00831F69" w:rsidP="00831F69">
      <w:pPr>
        <w:spacing w:line="400" w:lineRule="exact"/>
        <w:rPr>
          <w:sz w:val="24"/>
        </w:rPr>
      </w:pPr>
      <w:bookmarkStart w:id="0" w:name="_GoBack"/>
      <w:bookmarkEnd w:id="0"/>
    </w:p>
    <w:p w:rsidR="00831F69" w:rsidRPr="00831F69" w:rsidRDefault="00831F69" w:rsidP="00831F69">
      <w:pPr>
        <w:spacing w:line="400" w:lineRule="exact"/>
        <w:jc w:val="right"/>
        <w:rPr>
          <w:sz w:val="24"/>
        </w:rPr>
      </w:pPr>
      <w:r w:rsidRPr="00831F69">
        <w:rPr>
          <w:rFonts w:hint="eastAsia"/>
          <w:sz w:val="24"/>
        </w:rPr>
        <w:t>公益社団法人</w:t>
      </w:r>
      <w:r w:rsidRPr="00831F69">
        <w:rPr>
          <w:sz w:val="24"/>
        </w:rPr>
        <w:t xml:space="preserve"> 関西経済連合会</w:t>
      </w:r>
    </w:p>
    <w:p w:rsidR="00831F69" w:rsidRPr="00831F69" w:rsidRDefault="00831F69" w:rsidP="00831F69">
      <w:pPr>
        <w:spacing w:line="400" w:lineRule="exact"/>
        <w:jc w:val="right"/>
        <w:rPr>
          <w:sz w:val="24"/>
        </w:rPr>
      </w:pPr>
      <w:r w:rsidRPr="00831F69">
        <w:rPr>
          <w:rFonts w:hint="eastAsia"/>
          <w:sz w:val="24"/>
        </w:rPr>
        <w:t>経済調査部</w:t>
      </w:r>
      <w:r w:rsidRPr="00831F69">
        <w:rPr>
          <w:rFonts w:hint="eastAsia"/>
          <w:sz w:val="24"/>
        </w:rPr>
        <w:t>長　中島　宏</w:t>
      </w:r>
    </w:p>
    <w:p w:rsidR="00831F69" w:rsidRPr="00831F69" w:rsidRDefault="00831F69" w:rsidP="00831F69">
      <w:pPr>
        <w:spacing w:line="400" w:lineRule="exact"/>
        <w:jc w:val="right"/>
        <w:rPr>
          <w:sz w:val="24"/>
        </w:rPr>
      </w:pPr>
    </w:p>
    <w:p w:rsidR="00831F69" w:rsidRPr="00831F69" w:rsidRDefault="00831F69" w:rsidP="00831F69">
      <w:pPr>
        <w:spacing w:line="400" w:lineRule="exact"/>
        <w:jc w:val="right"/>
        <w:rPr>
          <w:rFonts w:hint="eastAsia"/>
          <w:sz w:val="24"/>
        </w:rPr>
      </w:pPr>
    </w:p>
    <w:p w:rsidR="00831F69" w:rsidRPr="00831F69" w:rsidRDefault="00831F69" w:rsidP="00831F69">
      <w:pPr>
        <w:spacing w:line="400" w:lineRule="exact"/>
        <w:rPr>
          <w:sz w:val="24"/>
        </w:rPr>
      </w:pPr>
      <w:r w:rsidRPr="00831F69">
        <w:rPr>
          <w:rFonts w:hint="eastAsia"/>
          <w:sz w:val="24"/>
        </w:rPr>
        <w:t>【規制的手法について】</w:t>
      </w:r>
    </w:p>
    <w:p w:rsidR="00831F69" w:rsidRPr="00831F69" w:rsidRDefault="00831F69" w:rsidP="00831F69">
      <w:pPr>
        <w:spacing w:line="400" w:lineRule="exact"/>
        <w:ind w:firstLineChars="100" w:firstLine="240"/>
        <w:rPr>
          <w:sz w:val="24"/>
        </w:rPr>
      </w:pPr>
      <w:r w:rsidRPr="00831F69">
        <w:rPr>
          <w:rFonts w:hint="eastAsia"/>
          <w:sz w:val="24"/>
        </w:rPr>
        <w:t>炭素税や排出量取引などのカーボン・プライシングや排出削減に向けた直接的な規制については、すでに</w:t>
      </w:r>
      <w:r w:rsidRPr="00831F69">
        <w:rPr>
          <w:sz w:val="24"/>
        </w:rPr>
        <w:t>CO2の限界削減費用が高く、エネルギーコストが国際的に高水準にあるわが国</w:t>
      </w:r>
      <w:r w:rsidRPr="00831F69">
        <w:rPr>
          <w:rFonts w:hint="eastAsia"/>
          <w:sz w:val="24"/>
        </w:rPr>
        <w:t>においては、更なるエネルギーコストの増加につながりかねず、企業による温暖化対策に向けたイノベーションを遅らせる懸念がある。したがって、こうした直接的な規制は導入すべきではない。</w:t>
      </w:r>
    </w:p>
    <w:p w:rsidR="00831F69" w:rsidRPr="00831F69" w:rsidRDefault="00831F69" w:rsidP="00831F69">
      <w:pPr>
        <w:spacing w:line="400" w:lineRule="exact"/>
        <w:ind w:firstLineChars="100" w:firstLine="240"/>
        <w:rPr>
          <w:sz w:val="24"/>
        </w:rPr>
      </w:pPr>
      <w:r w:rsidRPr="00831F69">
        <w:rPr>
          <w:rFonts w:hint="eastAsia"/>
          <w:sz w:val="24"/>
        </w:rPr>
        <w:t>世界的な課題である地球温暖化防止に向けては、</w:t>
      </w:r>
      <w:r w:rsidRPr="00831F69">
        <w:rPr>
          <w:sz w:val="24"/>
        </w:rPr>
        <w:t>CO2の抜本的な排出削減を可能とす</w:t>
      </w:r>
      <w:r w:rsidRPr="00831F69">
        <w:rPr>
          <w:rFonts w:hint="eastAsia"/>
          <w:sz w:val="24"/>
        </w:rPr>
        <w:t>る革新的技術の開発・普及などイノベーションの進展が鍵を握る。</w:t>
      </w:r>
    </w:p>
    <w:p w:rsidR="00831F69" w:rsidRPr="00831F69" w:rsidRDefault="00831F69" w:rsidP="00831F69">
      <w:pPr>
        <w:spacing w:line="400" w:lineRule="exact"/>
        <w:ind w:firstLineChars="100" w:firstLine="240"/>
        <w:rPr>
          <w:sz w:val="24"/>
        </w:rPr>
      </w:pPr>
      <w:r w:rsidRPr="00831F69">
        <w:rPr>
          <w:rFonts w:hint="eastAsia"/>
          <w:sz w:val="24"/>
        </w:rPr>
        <w:t>経済界としても、かかる技術開発に積極的に投資するとともに、優れた環境・エネルギー技術の海外展開などを通じて、世界全体の</w:t>
      </w:r>
      <w:r w:rsidRPr="00831F69">
        <w:rPr>
          <w:sz w:val="24"/>
        </w:rPr>
        <w:t>CO2排出量の大幅削減に貢献していくことが重要</w:t>
      </w:r>
      <w:r w:rsidRPr="00831F69">
        <w:rPr>
          <w:rFonts w:hint="eastAsia"/>
          <w:sz w:val="24"/>
        </w:rPr>
        <w:t>との認識を持っており、大阪府が考える「カーボンプライシング＝経済の仕組みの改善に役立つ手法」との表現や考え方には賛同致しかねる。</w:t>
      </w:r>
    </w:p>
    <w:p w:rsidR="00831F69" w:rsidRPr="00831F69" w:rsidRDefault="00831F69" w:rsidP="00831F69">
      <w:pPr>
        <w:spacing w:line="400" w:lineRule="exact"/>
        <w:rPr>
          <w:sz w:val="24"/>
        </w:rPr>
      </w:pPr>
    </w:p>
    <w:p w:rsidR="00831F69" w:rsidRPr="00831F69" w:rsidRDefault="00831F69" w:rsidP="00831F69">
      <w:pPr>
        <w:spacing w:line="400" w:lineRule="exact"/>
        <w:rPr>
          <w:sz w:val="24"/>
        </w:rPr>
      </w:pPr>
      <w:r w:rsidRPr="00831F69">
        <w:rPr>
          <w:rFonts w:hint="eastAsia"/>
          <w:sz w:val="24"/>
        </w:rPr>
        <w:t>【目指すべき方向性】</w:t>
      </w:r>
    </w:p>
    <w:p w:rsidR="00831F69" w:rsidRPr="00831F69" w:rsidRDefault="00831F69" w:rsidP="00831F69">
      <w:pPr>
        <w:spacing w:line="400" w:lineRule="exact"/>
        <w:ind w:firstLineChars="100" w:firstLine="240"/>
        <w:rPr>
          <w:rFonts w:hint="eastAsia"/>
          <w:sz w:val="24"/>
        </w:rPr>
      </w:pPr>
      <w:r w:rsidRPr="00831F69">
        <w:rPr>
          <w:rFonts w:hint="eastAsia"/>
          <w:sz w:val="24"/>
        </w:rPr>
        <w:t>経済界としても</w:t>
      </w:r>
      <w:r w:rsidRPr="00831F69">
        <w:rPr>
          <w:sz w:val="24"/>
        </w:rPr>
        <w:t>SDGｓの考え方や重要性を注視しており、府の環境政策において、SDG</w:t>
      </w:r>
      <w:r w:rsidRPr="00831F69">
        <w:rPr>
          <w:rFonts w:hint="eastAsia"/>
          <w:sz w:val="24"/>
        </w:rPr>
        <w:t>ｓの考え方を取り入れる事に対して「反対」するものではない。ただし、府民に与える影響を</w:t>
      </w:r>
      <w:r w:rsidRPr="00831F69">
        <w:rPr>
          <w:sz w:val="24"/>
        </w:rPr>
        <w:t>SDGｓ目標に</w:t>
      </w:r>
      <w:r w:rsidRPr="00831F69">
        <w:rPr>
          <w:rFonts w:hint="eastAsia"/>
          <w:sz w:val="24"/>
        </w:rPr>
        <w:t>強引に結びつけてしまえば、目指すべき方向性や解決すべき課題が逆に解り難くぼやけてしまうのではないかと危惧するものである。（府民の地元食材利用→→→アフリカ</w:t>
      </w:r>
      <w:r>
        <w:rPr>
          <w:rFonts w:hint="eastAsia"/>
          <w:sz w:val="24"/>
        </w:rPr>
        <w:t>を含めた</w:t>
      </w:r>
      <w:r w:rsidRPr="00831F69">
        <w:rPr>
          <w:rFonts w:hint="eastAsia"/>
          <w:sz w:val="24"/>
        </w:rPr>
        <w:t>飢餓防止のストーリーで府民が本気に行動に移すかが不明）</w:t>
      </w:r>
    </w:p>
    <w:sectPr w:rsidR="00831F69" w:rsidRPr="00831F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69"/>
    <w:rsid w:val="0049415E"/>
    <w:rsid w:val="006D61B7"/>
    <w:rsid w:val="0083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4E710"/>
  <w15:chartTrackingRefBased/>
  <w15:docId w15:val="{B74F0AC9-4B1D-481C-A6CE-AB7F6DBA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1C6CD-6658-4A05-A77F-F7565EFC64D9}"/>
</file>

<file path=customXml/itemProps2.xml><?xml version="1.0" encoding="utf-8"?>
<ds:datastoreItem xmlns:ds="http://schemas.openxmlformats.org/officeDocument/2006/customXml" ds:itemID="{15464603-E20D-427E-8910-88ED8040F8DA}"/>
</file>

<file path=customXml/itemProps3.xml><?xml version="1.0" encoding="utf-8"?>
<ds:datastoreItem xmlns:ds="http://schemas.openxmlformats.org/officeDocument/2006/customXml" ds:itemID="{C8F5EBCF-39AD-4D56-933A-54DC3D016A9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1</cp:revision>
  <dcterms:created xsi:type="dcterms:W3CDTF">2019-10-24T07:04:00Z</dcterms:created>
  <dcterms:modified xsi:type="dcterms:W3CDTF">2019-10-24T07:11:00Z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