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C9D57" w14:textId="481F0EFD" w:rsidR="006972A5" w:rsidRPr="00D81937" w:rsidRDefault="00147599" w:rsidP="00D81937">
      <w:pPr>
        <w:jc w:val="center"/>
        <w:rPr>
          <w:rFonts w:asciiTheme="majorHAnsi" w:eastAsiaTheme="majorHAnsi" w:hAnsiTheme="majorHAnsi"/>
          <w:sz w:val="22"/>
        </w:rPr>
      </w:pPr>
      <w:r>
        <w:rPr>
          <w:rFonts w:asciiTheme="majorHAnsi" w:eastAsiaTheme="majorHAnsi" w:hAnsiTheme="majorHAnsi" w:hint="eastAsia"/>
          <w:noProof/>
          <w:sz w:val="22"/>
        </w:rPr>
        <mc:AlternateContent>
          <mc:Choice Requires="wps">
            <w:drawing>
              <wp:anchor distT="0" distB="0" distL="114300" distR="114300" simplePos="0" relativeHeight="251659264" behindDoc="0" locked="0" layoutInCell="1" allowOverlap="1" wp14:anchorId="3293ADEC" wp14:editId="1E509019">
                <wp:simplePos x="0" y="0"/>
                <wp:positionH relativeFrom="column">
                  <wp:posOffset>8305165</wp:posOffset>
                </wp:positionH>
                <wp:positionV relativeFrom="paragraph">
                  <wp:posOffset>-466725</wp:posOffset>
                </wp:positionV>
                <wp:extent cx="117157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504825"/>
                        </a:xfrm>
                        <a:prstGeom prst="rect">
                          <a:avLst/>
                        </a:prstGeom>
                        <a:solidFill>
                          <a:schemeClr val="lt1"/>
                        </a:solidFill>
                        <a:ln w="6350">
                          <a:solidFill>
                            <a:prstClr val="black"/>
                          </a:solidFill>
                        </a:ln>
                      </wps:spPr>
                      <wps:txbx>
                        <w:txbxContent>
                          <w:p w14:paraId="2E8C3873" w14:textId="31E9CDC4" w:rsidR="00147599" w:rsidRPr="00147599" w:rsidRDefault="00147599">
                            <w:pPr>
                              <w:rPr>
                                <w:rFonts w:asciiTheme="majorHAnsi" w:eastAsiaTheme="majorHAnsi" w:hAnsiTheme="majorHAnsi" w:hint="eastAsia"/>
                                <w:sz w:val="28"/>
                              </w:rPr>
                            </w:pPr>
                            <w:r w:rsidRPr="00147599">
                              <w:rPr>
                                <w:rFonts w:asciiTheme="majorHAnsi" w:eastAsiaTheme="majorHAnsi" w:hAnsiTheme="majorHAnsi" w:hint="eastAsia"/>
                                <w:sz w:val="28"/>
                              </w:rPr>
                              <w:t>参考</w:t>
                            </w:r>
                            <w:r w:rsidRPr="00147599">
                              <w:rPr>
                                <w:rFonts w:asciiTheme="majorHAnsi" w:eastAsiaTheme="majorHAnsi" w:hAnsiTheme="majorHAnsi"/>
                                <w:sz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3ADEC" id="_x0000_t202" coordsize="21600,21600" o:spt="202" path="m,l,21600r21600,l21600,xe">
                <v:stroke joinstyle="miter"/>
                <v:path gradientshapeok="t" o:connecttype="rect"/>
              </v:shapetype>
              <v:shape id="テキスト ボックス 1" o:spid="_x0000_s1026" type="#_x0000_t202" style="position:absolute;left:0;text-align:left;margin-left:653.95pt;margin-top:-36.75pt;width:92.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" fillcolor="white [3201]" strokeweight=".5pt">
                <v:textbox>
                  <w:txbxContent>
                    <w:p w14:paraId="2E8C3873" w14:textId="31E9CDC4" w:rsidR="00147599" w:rsidRPr="00147599" w:rsidRDefault="00147599">
                      <w:pPr>
                        <w:rPr>
                          <w:rFonts w:asciiTheme="majorHAnsi" w:eastAsiaTheme="majorHAnsi" w:hAnsiTheme="majorHAnsi" w:hint="eastAsia"/>
                          <w:sz w:val="28"/>
                        </w:rPr>
                      </w:pPr>
                      <w:r w:rsidRPr="00147599">
                        <w:rPr>
                          <w:rFonts w:asciiTheme="majorHAnsi" w:eastAsiaTheme="majorHAnsi" w:hAnsiTheme="majorHAnsi" w:hint="eastAsia"/>
                          <w:sz w:val="28"/>
                        </w:rPr>
                        <w:t>参考</w:t>
                      </w:r>
                      <w:r w:rsidRPr="00147599">
                        <w:rPr>
                          <w:rFonts w:asciiTheme="majorHAnsi" w:eastAsiaTheme="majorHAnsi" w:hAnsiTheme="majorHAnsi"/>
                          <w:sz w:val="28"/>
                        </w:rPr>
                        <w:t>資料２</w:t>
                      </w:r>
                    </w:p>
                  </w:txbxContent>
                </v:textbox>
              </v:shape>
            </w:pict>
          </mc:Fallback>
        </mc:AlternateContent>
      </w:r>
      <w:bookmarkStart w:id="0" w:name="_GoBack"/>
      <w:bookmarkEnd w:id="0"/>
      <w:r w:rsidRPr="00147599">
        <w:rPr>
          <w:rFonts w:asciiTheme="majorHAnsi" w:eastAsiaTheme="majorHAnsi" w:hAnsiTheme="majorHAnsi" w:hint="eastAsia"/>
          <w:sz w:val="22"/>
        </w:rPr>
        <w:t>第１回部会における委員からいただいた質疑への事務局回答</w:t>
      </w:r>
    </w:p>
    <w:p w14:paraId="1E5CFE21" w14:textId="77777777" w:rsidR="00BD406B" w:rsidRPr="004D1447" w:rsidRDefault="00BD406B">
      <w:pPr>
        <w:rPr>
          <w:rFonts w:asciiTheme="majorHAnsi" w:eastAsiaTheme="majorHAnsi" w:hAnsiTheme="majorHAnsi"/>
        </w:rPr>
      </w:pPr>
    </w:p>
    <w:p w14:paraId="708E0490" w14:textId="57DEE3BD" w:rsidR="00BD406B" w:rsidRPr="004D1447" w:rsidRDefault="00BD406B">
      <w:pPr>
        <w:rPr>
          <w:rFonts w:asciiTheme="majorHAnsi" w:eastAsiaTheme="majorHAnsi" w:hAnsiTheme="majorHAnsi"/>
        </w:rPr>
      </w:pPr>
      <w:r w:rsidRPr="004D1447">
        <w:rPr>
          <w:rFonts w:asciiTheme="majorHAnsi" w:eastAsiaTheme="majorHAnsi" w:hAnsiTheme="majorHAnsi" w:hint="eastAsia"/>
        </w:rPr>
        <w:t>＜資料１－1～１－３</w:t>
      </w:r>
      <w:r w:rsidR="00D81937">
        <w:rPr>
          <w:rFonts w:asciiTheme="majorHAnsi" w:eastAsiaTheme="majorHAnsi" w:hAnsiTheme="majorHAnsi" w:hint="eastAsia"/>
        </w:rPr>
        <w:t>関係</w:t>
      </w:r>
      <w:r w:rsidRPr="004D1447">
        <w:rPr>
          <w:rFonts w:asciiTheme="majorHAnsi" w:eastAsiaTheme="majorHAnsi" w:hAnsiTheme="majorHAnsi" w:hint="eastAsia"/>
        </w:rPr>
        <w:t>＞</w:t>
      </w:r>
    </w:p>
    <w:tbl>
      <w:tblPr>
        <w:tblStyle w:val="a3"/>
        <w:tblW w:w="14742" w:type="dxa"/>
        <w:tblInd w:w="-5" w:type="dxa"/>
        <w:tblLook w:val="04A0" w:firstRow="1" w:lastRow="0" w:firstColumn="1" w:lastColumn="0" w:noHBand="0" w:noVBand="1"/>
      </w:tblPr>
      <w:tblGrid>
        <w:gridCol w:w="7371"/>
        <w:gridCol w:w="7371"/>
      </w:tblGrid>
      <w:tr w:rsidR="004D1447" w:rsidRPr="004D1447" w14:paraId="0B0EAA5C" w14:textId="77777777" w:rsidTr="004D1447">
        <w:trPr>
          <w:cantSplit/>
          <w:tblHeader/>
        </w:trPr>
        <w:tc>
          <w:tcPr>
            <w:tcW w:w="7371" w:type="dxa"/>
          </w:tcPr>
          <w:p w14:paraId="1351FA95"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委員からの質疑</w:t>
            </w:r>
          </w:p>
        </w:tc>
        <w:tc>
          <w:tcPr>
            <w:tcW w:w="7371" w:type="dxa"/>
          </w:tcPr>
          <w:p w14:paraId="4B06D9C1"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事務局回答</w:t>
            </w:r>
          </w:p>
        </w:tc>
      </w:tr>
      <w:tr w:rsidR="004D1447" w:rsidRPr="004D1447" w14:paraId="01913281" w14:textId="77777777" w:rsidTr="004D1447">
        <w:trPr>
          <w:cantSplit/>
        </w:trPr>
        <w:tc>
          <w:tcPr>
            <w:tcW w:w="7371" w:type="dxa"/>
          </w:tcPr>
          <w:p w14:paraId="4CAA3408"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（加賀委員）</w:t>
            </w:r>
          </w:p>
          <w:p w14:paraId="389B01FB" w14:textId="77777777" w:rsidR="004D1447" w:rsidRPr="004D1447" w:rsidRDefault="004D1447" w:rsidP="008100AE">
            <w:pPr>
              <w:rPr>
                <w:rFonts w:asciiTheme="majorHAnsi" w:eastAsiaTheme="majorHAnsi" w:hAnsiTheme="majorHAnsi"/>
              </w:rPr>
            </w:pPr>
            <w:r w:rsidRPr="004D1447">
              <w:rPr>
                <w:rFonts w:asciiTheme="majorHAnsi" w:eastAsiaTheme="majorHAnsi" w:hAnsiTheme="majorHAnsi" w:hint="eastAsia"/>
              </w:rPr>
              <w:t>「みどりの風を感じる大都市・大阪の推進」の緑化促進の活動について、達成度が低い理由は？（資料１－３　Ⅲ－１）</w:t>
            </w:r>
          </w:p>
        </w:tc>
        <w:tc>
          <w:tcPr>
            <w:tcW w:w="7371" w:type="dxa"/>
          </w:tcPr>
          <w:p w14:paraId="2DA7C351"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事業の発信はしていたものの、応募に繋がらなかった。</w:t>
            </w:r>
          </w:p>
          <w:p w14:paraId="17FCB8B2" w14:textId="77777777" w:rsidR="004D1447" w:rsidRPr="004D1447" w:rsidRDefault="004D1447">
            <w:pPr>
              <w:rPr>
                <w:rFonts w:asciiTheme="majorHAnsi" w:eastAsiaTheme="majorHAnsi" w:hAnsiTheme="majorHAnsi"/>
              </w:rPr>
            </w:pPr>
            <w:r w:rsidRPr="004D1447">
              <w:rPr>
                <w:rFonts w:asciiTheme="majorHAnsi" w:eastAsiaTheme="majorHAnsi" w:hAnsiTheme="majorHAnsi" w:cs="MS UI Gothic" w:hint="eastAsia"/>
                <w:kern w:val="0"/>
                <w:szCs w:val="18"/>
                <w:lang w:val="ja-JP"/>
              </w:rPr>
              <w:t>今後も継続して働きかける。</w:t>
            </w:r>
          </w:p>
        </w:tc>
      </w:tr>
      <w:tr w:rsidR="004D1447" w:rsidRPr="004D1447" w14:paraId="5EBE286C" w14:textId="77777777" w:rsidTr="004D1447">
        <w:trPr>
          <w:cantSplit/>
        </w:trPr>
        <w:tc>
          <w:tcPr>
            <w:tcW w:w="7371" w:type="dxa"/>
          </w:tcPr>
          <w:p w14:paraId="3A4B3650" w14:textId="77777777" w:rsidR="004D1447" w:rsidRPr="004D1447" w:rsidRDefault="004D1447">
            <w:pPr>
              <w:rPr>
                <w:rFonts w:asciiTheme="majorHAnsi" w:eastAsiaTheme="majorHAnsi" w:hAnsiTheme="majorHAnsi" w:cs="MS UI Gothic"/>
                <w:kern w:val="0"/>
                <w:szCs w:val="18"/>
              </w:rPr>
            </w:pPr>
            <w:r w:rsidRPr="004D1447">
              <w:rPr>
                <w:rFonts w:asciiTheme="majorHAnsi" w:eastAsiaTheme="majorHAnsi" w:hAnsiTheme="majorHAnsi" w:cs="MS UI Gothic" w:hint="eastAsia"/>
                <w:kern w:val="0"/>
                <w:szCs w:val="18"/>
              </w:rPr>
              <w:t>（貫上委員）</w:t>
            </w:r>
          </w:p>
          <w:p w14:paraId="726F5E6C" w14:textId="77777777" w:rsidR="004D1447" w:rsidRPr="004D1447" w:rsidRDefault="004D1447">
            <w:pPr>
              <w:rPr>
                <w:rFonts w:asciiTheme="majorHAnsi" w:eastAsiaTheme="majorHAnsi" w:hAnsiTheme="majorHAnsi"/>
              </w:rPr>
            </w:pPr>
            <w:r w:rsidRPr="004D1447">
              <w:rPr>
                <w:rFonts w:asciiTheme="majorHAnsi" w:eastAsiaTheme="majorHAnsi" w:hAnsiTheme="majorHAnsi" w:cs="MS UI Gothic" w:hint="eastAsia"/>
                <w:kern w:val="0"/>
                <w:szCs w:val="18"/>
                <w:lang w:val="ja-JP"/>
              </w:rPr>
              <w:t>流域下水事業の推進について、下水道普及率は上がってるものの、整備箇所が少ないから、達成しなかったという理解でよいか？（資料１－３　Ⅱ―４　２－７）</w:t>
            </w:r>
          </w:p>
        </w:tc>
        <w:tc>
          <w:tcPr>
            <w:tcW w:w="7371" w:type="dxa"/>
          </w:tcPr>
          <w:p w14:paraId="358645DA" w14:textId="77777777" w:rsidR="004D1447" w:rsidRPr="004D1447" w:rsidRDefault="004D1447" w:rsidP="008100AE">
            <w:pPr>
              <w:rPr>
                <w:rFonts w:asciiTheme="majorHAnsi" w:eastAsiaTheme="majorHAnsi" w:hAnsiTheme="majorHAnsi"/>
              </w:rPr>
            </w:pPr>
            <w:r w:rsidRPr="004D1447">
              <w:rPr>
                <w:rFonts w:asciiTheme="majorHAnsi" w:eastAsiaTheme="majorHAnsi" w:hAnsiTheme="majorHAnsi" w:hint="eastAsia"/>
              </w:rPr>
              <w:t>下水道普及率の向上と施設の整備内容の</w:t>
            </w:r>
            <w:r w:rsidRPr="004D1447">
              <w:rPr>
                <w:rFonts w:asciiTheme="majorHAnsi" w:eastAsiaTheme="majorHAnsi" w:hAnsiTheme="majorHAnsi"/>
              </w:rPr>
              <w:t>2点で指標として</w:t>
            </w:r>
            <w:r w:rsidRPr="004D1447">
              <w:rPr>
                <w:rFonts w:asciiTheme="majorHAnsi" w:eastAsiaTheme="majorHAnsi" w:hAnsiTheme="majorHAnsi" w:hint="eastAsia"/>
              </w:rPr>
              <w:t>おり</w:t>
            </w:r>
            <w:r w:rsidRPr="004D1447">
              <w:rPr>
                <w:rFonts w:asciiTheme="majorHAnsi" w:eastAsiaTheme="majorHAnsi" w:hAnsiTheme="majorHAnsi"/>
              </w:rPr>
              <w:t>、普及率の向上については達成したものの、整備内容について</w:t>
            </w:r>
            <w:r w:rsidRPr="004D1447">
              <w:rPr>
                <w:rFonts w:asciiTheme="majorHAnsi" w:eastAsiaTheme="majorHAnsi" w:hAnsiTheme="majorHAnsi" w:hint="eastAsia"/>
              </w:rPr>
              <w:t>は</w:t>
            </w:r>
            <w:r w:rsidRPr="004D1447">
              <w:rPr>
                <w:rFonts w:asciiTheme="majorHAnsi" w:eastAsiaTheme="majorHAnsi" w:hAnsiTheme="majorHAnsi"/>
              </w:rPr>
              <w:t>ポンプ場</w:t>
            </w:r>
            <w:r w:rsidRPr="004D1447">
              <w:rPr>
                <w:rFonts w:asciiTheme="majorHAnsi" w:eastAsiaTheme="majorHAnsi" w:hAnsiTheme="majorHAnsi" w:hint="eastAsia"/>
              </w:rPr>
              <w:t>など</w:t>
            </w:r>
            <w:r w:rsidRPr="004D1447">
              <w:rPr>
                <w:rFonts w:asciiTheme="majorHAnsi" w:eastAsiaTheme="majorHAnsi" w:hAnsiTheme="majorHAnsi"/>
              </w:rPr>
              <w:t>一部で整備が遅れて</w:t>
            </w:r>
            <w:r w:rsidRPr="004D1447">
              <w:rPr>
                <w:rFonts w:asciiTheme="majorHAnsi" w:eastAsiaTheme="majorHAnsi" w:hAnsiTheme="majorHAnsi" w:hint="eastAsia"/>
              </w:rPr>
              <w:t>おり、未達成となった。</w:t>
            </w:r>
          </w:p>
        </w:tc>
      </w:tr>
      <w:tr w:rsidR="004D1447" w:rsidRPr="004D1447" w14:paraId="65ECAE7A" w14:textId="77777777" w:rsidTr="004D1447">
        <w:trPr>
          <w:cantSplit/>
        </w:trPr>
        <w:tc>
          <w:tcPr>
            <w:tcW w:w="7371" w:type="dxa"/>
          </w:tcPr>
          <w:p w14:paraId="4021A6A7" w14:textId="77777777" w:rsidR="004D1447" w:rsidRPr="004D1447" w:rsidRDefault="004D1447">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（阪委員・秋元専門委員）</w:t>
            </w:r>
          </w:p>
          <w:p w14:paraId="66033254" w14:textId="6F3F6A6C" w:rsidR="004D1447" w:rsidRPr="004D1447" w:rsidRDefault="004D1447" w:rsidP="008100AE">
            <w:pPr>
              <w:rPr>
                <w:rFonts w:asciiTheme="majorHAnsi" w:eastAsiaTheme="majorHAnsi" w:hAnsiTheme="majorHAnsi"/>
              </w:rPr>
            </w:pPr>
            <w:r w:rsidRPr="004D1447">
              <w:rPr>
                <w:rFonts w:asciiTheme="majorHAnsi" w:eastAsiaTheme="majorHAnsi" w:hAnsiTheme="majorHAnsi" w:cs="MS UI Gothic" w:hint="eastAsia"/>
                <w:kern w:val="0"/>
                <w:szCs w:val="18"/>
                <w:lang w:val="ja-JP"/>
              </w:rPr>
              <w:t>温室効果ガス排出量について、昨年に比べて増加した理由は経済活動が活発になったからか？増減した要因について明らかにするように。（資料１－２　２.（１）２－１－３）</w:t>
            </w:r>
          </w:p>
        </w:tc>
        <w:tc>
          <w:tcPr>
            <w:tcW w:w="7371" w:type="dxa"/>
          </w:tcPr>
          <w:p w14:paraId="23AE9C4E" w14:textId="62AFCD50" w:rsidR="004D1447" w:rsidRPr="004D1447" w:rsidRDefault="004D1447" w:rsidP="008100AE">
            <w:pPr>
              <w:rPr>
                <w:rFonts w:asciiTheme="majorHAnsi" w:eastAsiaTheme="majorHAnsi" w:hAnsiTheme="majorHAnsi"/>
              </w:rPr>
            </w:pPr>
            <w:r w:rsidRPr="004D1447">
              <w:rPr>
                <w:rFonts w:asciiTheme="majorHAnsi" w:eastAsiaTheme="majorHAnsi" w:hAnsiTheme="majorHAnsi" w:cs="MS UI Gothic" w:hint="eastAsia"/>
                <w:kern w:val="0"/>
                <w:szCs w:val="18"/>
                <w:lang w:val="ja-JP"/>
              </w:rPr>
              <w:t>条例に基づく届出事業者の中には、原単位としては減少しているものの、生産活動が増えたために排出量が増えたところもあり、事業所数や生産量の増加など、経済活動が活発になったことにより増加した。</w:t>
            </w:r>
          </w:p>
        </w:tc>
      </w:tr>
      <w:tr w:rsidR="004D1447" w:rsidRPr="004D1447" w14:paraId="0F9D533E" w14:textId="77777777" w:rsidTr="004D1447">
        <w:trPr>
          <w:cantSplit/>
        </w:trPr>
        <w:tc>
          <w:tcPr>
            <w:tcW w:w="7371" w:type="dxa"/>
          </w:tcPr>
          <w:p w14:paraId="43EE7CB9"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（秋元専門委員）</w:t>
            </w:r>
          </w:p>
          <w:p w14:paraId="2F33AF75" w14:textId="77777777" w:rsidR="004D1447" w:rsidRPr="004D1447" w:rsidRDefault="004D1447" w:rsidP="008100AE">
            <w:pPr>
              <w:rPr>
                <w:rFonts w:asciiTheme="majorHAnsi" w:eastAsiaTheme="majorHAnsi" w:hAnsiTheme="majorHAnsi"/>
              </w:rPr>
            </w:pPr>
            <w:r w:rsidRPr="004D1447">
              <w:rPr>
                <w:rFonts w:asciiTheme="majorHAnsi" w:eastAsiaTheme="majorHAnsi" w:hAnsiTheme="majorHAnsi" w:hint="eastAsia"/>
              </w:rPr>
              <w:t>「地球温暖化・ヒートアイランド」に関し、代替フロン対策を強化されたい。（資料１－１）</w:t>
            </w:r>
          </w:p>
        </w:tc>
        <w:tc>
          <w:tcPr>
            <w:tcW w:w="7371" w:type="dxa"/>
          </w:tcPr>
          <w:p w14:paraId="6CDEE4B5" w14:textId="77777777" w:rsidR="004D1447" w:rsidRPr="004D1447" w:rsidRDefault="004D1447">
            <w:pPr>
              <w:rPr>
                <w:rFonts w:asciiTheme="majorHAnsi" w:eastAsiaTheme="majorHAnsi" w:hAnsiTheme="majorHAnsi"/>
              </w:rPr>
            </w:pPr>
            <w:r w:rsidRPr="004D1447">
              <w:rPr>
                <w:rFonts w:asciiTheme="majorHAnsi" w:eastAsiaTheme="majorHAnsi" w:hAnsiTheme="majorHAnsi" w:cs="MS UI Gothic" w:hint="eastAsia"/>
                <w:kern w:val="0"/>
                <w:szCs w:val="18"/>
                <w:lang w:val="ja-JP"/>
              </w:rPr>
              <w:t>関係部署とも連携しながら進めていきたい。</w:t>
            </w:r>
          </w:p>
        </w:tc>
      </w:tr>
      <w:tr w:rsidR="004D1447" w:rsidRPr="004D1447" w14:paraId="425880B2" w14:textId="77777777" w:rsidTr="004D1447">
        <w:trPr>
          <w:cantSplit/>
        </w:trPr>
        <w:tc>
          <w:tcPr>
            <w:tcW w:w="7371" w:type="dxa"/>
          </w:tcPr>
          <w:p w14:paraId="218F394F"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lastRenderedPageBreak/>
              <w:t>（三輪専門委員）</w:t>
            </w:r>
          </w:p>
          <w:p w14:paraId="7BC21C8F" w14:textId="5FC33ED4" w:rsidR="004D1447" w:rsidRPr="004D1447" w:rsidRDefault="004D1447" w:rsidP="008100AE">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「産業廃棄物の適正処理の徹底」について、不適正事例の件数には事務移譲した市町村の分も含まれているのか？</w:t>
            </w:r>
          </w:p>
          <w:p w14:paraId="45E188B4" w14:textId="0EF1BC9D" w:rsidR="004D1447" w:rsidRPr="004D1447" w:rsidRDefault="004D1447" w:rsidP="008100AE">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また、不適正事例の件数の増減について、市町村への事務事業の移譲による事務処理等（不適正事例とする判断基準や不適正事例を発見するための体制など）の違いが影響したものではないのか？</w:t>
            </w:r>
          </w:p>
          <w:p w14:paraId="0E963FA1" w14:textId="1540A8E2" w:rsidR="004D1447" w:rsidRPr="004D1447" w:rsidRDefault="004D1447" w:rsidP="008100AE">
            <w:pPr>
              <w:rPr>
                <w:rFonts w:asciiTheme="majorHAnsi" w:eastAsiaTheme="majorHAnsi" w:hAnsiTheme="majorHAnsi"/>
              </w:rPr>
            </w:pPr>
            <w:r w:rsidRPr="004D1447">
              <w:rPr>
                <w:rFonts w:asciiTheme="majorHAnsi" w:eastAsiaTheme="majorHAnsi" w:hAnsiTheme="majorHAnsi" w:cs="MS UI Gothic" w:hint="eastAsia"/>
                <w:kern w:val="0"/>
                <w:szCs w:val="18"/>
                <w:lang w:val="ja-JP"/>
              </w:rPr>
              <w:t>（資料１－３　Ⅱ－２－７）</w:t>
            </w:r>
          </w:p>
        </w:tc>
        <w:tc>
          <w:tcPr>
            <w:tcW w:w="7371" w:type="dxa"/>
          </w:tcPr>
          <w:p w14:paraId="38F4C316" w14:textId="46244512" w:rsidR="004D1447" w:rsidRPr="004D1447" w:rsidRDefault="004D1447">
            <w:pPr>
              <w:rPr>
                <w:rFonts w:asciiTheme="majorHAnsi" w:eastAsiaTheme="majorHAnsi" w:hAnsiTheme="majorHAnsi"/>
              </w:rPr>
            </w:pPr>
            <w:r w:rsidRPr="004D1447">
              <w:rPr>
                <w:rFonts w:asciiTheme="majorHAnsi" w:eastAsiaTheme="majorHAnsi" w:hAnsiTheme="majorHAnsi" w:hint="eastAsia"/>
              </w:rPr>
              <w:t>不適正処理件数には政令指定都市・中核市分は含まれていない。従って事務移譲により件数は減少することになるが、実際に最近中核市となった八尾市は7件、寝屋川市では6件と、全体への影響は軽微。</w:t>
            </w:r>
          </w:p>
          <w:p w14:paraId="1A2C4DC2" w14:textId="6F82BC44" w:rsidR="004D1447" w:rsidRPr="004D1447" w:rsidRDefault="004D1447" w:rsidP="0006023C">
            <w:pPr>
              <w:rPr>
                <w:rFonts w:asciiTheme="majorHAnsi" w:eastAsiaTheme="majorHAnsi" w:hAnsiTheme="majorHAnsi"/>
              </w:rPr>
            </w:pPr>
            <w:r w:rsidRPr="004D1447">
              <w:rPr>
                <w:rFonts w:asciiTheme="majorHAnsi" w:eastAsiaTheme="majorHAnsi" w:hAnsiTheme="majorHAnsi" w:hint="eastAsia"/>
              </w:rPr>
              <w:t>また、政令指定都市・中核市とは、定期的に会合し、法の運用などについての情報交換・共有や擦り合わせを行っており、レベルに相違はない。</w:t>
            </w:r>
          </w:p>
          <w:p w14:paraId="3513B23F" w14:textId="01990BD4" w:rsidR="004D1447" w:rsidRPr="004D1447" w:rsidRDefault="004D1447" w:rsidP="000B7E6E">
            <w:pPr>
              <w:rPr>
                <w:rFonts w:asciiTheme="majorHAnsi" w:eastAsiaTheme="majorHAnsi" w:hAnsiTheme="majorHAnsi"/>
              </w:rPr>
            </w:pPr>
            <w:r w:rsidRPr="004D1447">
              <w:rPr>
                <w:rFonts w:asciiTheme="majorHAnsi" w:eastAsiaTheme="majorHAnsi" w:hAnsiTheme="majorHAnsi" w:hint="eastAsia"/>
              </w:rPr>
              <w:t>なお、産業廃棄物の排出量については、府域全体のデータを把握・提示しており、中核市が増えることによる変動はない。</w:t>
            </w:r>
          </w:p>
        </w:tc>
      </w:tr>
      <w:tr w:rsidR="004D1447" w:rsidRPr="004D1447" w14:paraId="5BA8DA83" w14:textId="77777777" w:rsidTr="004D1447">
        <w:trPr>
          <w:cantSplit/>
        </w:trPr>
        <w:tc>
          <w:tcPr>
            <w:tcW w:w="7371" w:type="dxa"/>
          </w:tcPr>
          <w:p w14:paraId="584E09A6" w14:textId="77777777" w:rsidR="004D1447" w:rsidRPr="004D1447" w:rsidRDefault="004D1447">
            <w:pPr>
              <w:rPr>
                <w:rFonts w:asciiTheme="majorHAnsi" w:eastAsiaTheme="majorHAnsi" w:hAnsiTheme="majorHAnsi"/>
              </w:rPr>
            </w:pPr>
            <w:r w:rsidRPr="004D1447">
              <w:rPr>
                <w:rFonts w:asciiTheme="majorHAnsi" w:eastAsiaTheme="majorHAnsi" w:hAnsiTheme="majorHAnsi" w:hint="eastAsia"/>
              </w:rPr>
              <w:t>（岩屋専門委員）</w:t>
            </w:r>
          </w:p>
          <w:p w14:paraId="44D50F1A" w14:textId="77777777" w:rsidR="004D1447" w:rsidRPr="004D1447" w:rsidRDefault="004D1447" w:rsidP="006D30CE">
            <w:pPr>
              <w:rPr>
                <w:rFonts w:asciiTheme="majorHAnsi" w:eastAsiaTheme="majorHAnsi" w:hAnsiTheme="majorHAnsi"/>
              </w:rPr>
            </w:pPr>
            <w:r w:rsidRPr="004D1447">
              <w:rPr>
                <w:rFonts w:asciiTheme="majorHAnsi" w:eastAsiaTheme="majorHAnsi" w:hAnsiTheme="majorHAnsi" w:hint="eastAsia"/>
              </w:rPr>
              <w:t>「</w:t>
            </w:r>
            <w:r w:rsidRPr="004D1447">
              <w:rPr>
                <w:rFonts w:asciiTheme="majorHAnsi" w:eastAsiaTheme="majorHAnsi" w:hAnsiTheme="majorHAnsi"/>
              </w:rPr>
              <w:t>環境情報の発信</w:t>
            </w:r>
            <w:r w:rsidRPr="004D1447">
              <w:rPr>
                <w:rFonts w:asciiTheme="majorHAnsi" w:eastAsiaTheme="majorHAnsi" w:hAnsiTheme="majorHAnsi" w:hint="eastAsia"/>
              </w:rPr>
              <w:t>」に関し、エコギャラリー年間アクセス件数が、</w:t>
            </w:r>
            <w:r w:rsidRPr="004D1447">
              <w:rPr>
                <w:rFonts w:asciiTheme="majorHAnsi" w:eastAsiaTheme="majorHAnsi" w:hAnsiTheme="majorHAnsi"/>
              </w:rPr>
              <w:t>2016年16万件、2017年14万件、2018年12万件と緩やかながら減少傾向にあると見受けられる。府民の環境情報へのアクセスが容易で、活発になるような取組はなされているのか？</w:t>
            </w:r>
            <w:r w:rsidRPr="004D1447">
              <w:rPr>
                <w:rFonts w:asciiTheme="majorHAnsi" w:eastAsiaTheme="majorHAnsi" w:hAnsiTheme="majorHAnsi" w:hint="eastAsia"/>
              </w:rPr>
              <w:t>（資料１－３　Ⅰ―１）</w:t>
            </w:r>
          </w:p>
        </w:tc>
        <w:tc>
          <w:tcPr>
            <w:tcW w:w="7371" w:type="dxa"/>
          </w:tcPr>
          <w:p w14:paraId="3CB14491" w14:textId="0BF23831" w:rsidR="004D1447" w:rsidRPr="004D1447" w:rsidRDefault="004D1447" w:rsidP="00947E34">
            <w:pPr>
              <w:rPr>
                <w:rFonts w:asciiTheme="majorHAnsi" w:eastAsiaTheme="majorHAnsi" w:hAnsiTheme="majorHAnsi"/>
                <w:kern w:val="0"/>
              </w:rPr>
            </w:pPr>
            <w:r w:rsidRPr="004D1447">
              <w:rPr>
                <w:rFonts w:asciiTheme="majorHAnsi" w:eastAsiaTheme="majorHAnsi" w:hAnsiTheme="majorHAnsi" w:hint="eastAsia"/>
                <w:kern w:val="0"/>
              </w:rPr>
              <w:t>アクセスが活発になるよう、紙媒体の啓発物やパネル等において、HPに関連情報がある旨</w:t>
            </w:r>
            <w:r w:rsidR="00736397">
              <w:rPr>
                <w:rFonts w:asciiTheme="majorHAnsi" w:eastAsiaTheme="majorHAnsi" w:hAnsiTheme="majorHAnsi" w:hint="eastAsia"/>
                <w:kern w:val="0"/>
              </w:rPr>
              <w:t>を</w:t>
            </w:r>
            <w:r w:rsidRPr="004D1447">
              <w:rPr>
                <w:rFonts w:asciiTheme="majorHAnsi" w:eastAsiaTheme="majorHAnsi" w:hAnsiTheme="majorHAnsi" w:hint="eastAsia"/>
                <w:kern w:val="0"/>
              </w:rPr>
              <w:t>周知し</w:t>
            </w:r>
            <w:r w:rsidR="00736397">
              <w:rPr>
                <w:rFonts w:asciiTheme="majorHAnsi" w:eastAsiaTheme="majorHAnsi" w:hAnsiTheme="majorHAnsi" w:hint="eastAsia"/>
                <w:kern w:val="0"/>
              </w:rPr>
              <w:t>たり、メールやSNSによる発信も</w:t>
            </w:r>
            <w:r w:rsidR="001F04E1">
              <w:rPr>
                <w:rFonts w:asciiTheme="majorHAnsi" w:eastAsiaTheme="majorHAnsi" w:hAnsiTheme="majorHAnsi" w:hint="eastAsia"/>
                <w:kern w:val="0"/>
              </w:rPr>
              <w:t>行っ</w:t>
            </w:r>
            <w:r w:rsidRPr="004D1447">
              <w:rPr>
                <w:rFonts w:asciiTheme="majorHAnsi" w:eastAsiaTheme="majorHAnsi" w:hAnsiTheme="majorHAnsi" w:hint="eastAsia"/>
                <w:kern w:val="0"/>
              </w:rPr>
              <w:t>ている。なお、近年のアクセス件数の低下は流入車対策の条例改正に伴うもので、その他は横ばい。</w:t>
            </w:r>
          </w:p>
        </w:tc>
      </w:tr>
      <w:tr w:rsidR="004D1447" w:rsidRPr="004D1447" w14:paraId="6A0F7D00" w14:textId="77777777" w:rsidTr="004D1447">
        <w:trPr>
          <w:cantSplit/>
        </w:trPr>
        <w:tc>
          <w:tcPr>
            <w:tcW w:w="7371" w:type="dxa"/>
          </w:tcPr>
          <w:p w14:paraId="77D3B093" w14:textId="77777777" w:rsidR="004D1447" w:rsidRPr="004D1447" w:rsidRDefault="004D1447" w:rsidP="006D30CE">
            <w:pPr>
              <w:rPr>
                <w:rFonts w:asciiTheme="majorHAnsi" w:eastAsiaTheme="majorHAnsi" w:hAnsiTheme="majorHAnsi"/>
              </w:rPr>
            </w:pPr>
            <w:r w:rsidRPr="004D1447">
              <w:rPr>
                <w:rFonts w:asciiTheme="majorHAnsi" w:eastAsiaTheme="majorHAnsi" w:hAnsiTheme="majorHAnsi" w:hint="eastAsia"/>
              </w:rPr>
              <w:t>（岩屋専門委員）</w:t>
            </w:r>
          </w:p>
          <w:p w14:paraId="0F29E134" w14:textId="77777777" w:rsidR="004D1447" w:rsidRPr="004D1447" w:rsidRDefault="004D1447" w:rsidP="006D30CE">
            <w:pPr>
              <w:rPr>
                <w:rFonts w:asciiTheme="majorHAnsi" w:eastAsiaTheme="majorHAnsi" w:hAnsiTheme="majorHAnsi"/>
              </w:rPr>
            </w:pPr>
            <w:r w:rsidRPr="004D1447">
              <w:rPr>
                <w:rFonts w:asciiTheme="majorHAnsi" w:eastAsiaTheme="majorHAnsi" w:hAnsiTheme="majorHAnsi" w:hint="eastAsia"/>
              </w:rPr>
              <w:t>「</w:t>
            </w:r>
            <w:r w:rsidRPr="004D1447">
              <w:rPr>
                <w:rFonts w:asciiTheme="majorHAnsi" w:eastAsiaTheme="majorHAnsi" w:hAnsiTheme="majorHAnsi"/>
              </w:rPr>
              <w:t>農業・農空間に関する活動への府民の参加促進</w:t>
            </w:r>
            <w:r w:rsidRPr="004D1447">
              <w:rPr>
                <w:rFonts w:asciiTheme="majorHAnsi" w:eastAsiaTheme="majorHAnsi" w:hAnsiTheme="majorHAnsi" w:hint="eastAsia"/>
              </w:rPr>
              <w:t>」について、興味深い事業だと考える。企業、大学等の研究・教育機関、</w:t>
            </w:r>
            <w:r w:rsidRPr="004D1447">
              <w:rPr>
                <w:rFonts w:asciiTheme="majorHAnsi" w:eastAsiaTheme="majorHAnsi" w:hAnsiTheme="majorHAnsi"/>
              </w:rPr>
              <w:t>NPO 等との連携の件数(団体数が適当か)を取組指標に加えてはどうか？</w:t>
            </w:r>
            <w:r w:rsidRPr="004D1447">
              <w:rPr>
                <w:rFonts w:asciiTheme="majorHAnsi" w:eastAsiaTheme="majorHAnsi" w:hAnsiTheme="majorHAnsi" w:hint="eastAsia"/>
              </w:rPr>
              <w:t>（資料１－３　Ⅰ―７）</w:t>
            </w:r>
          </w:p>
        </w:tc>
        <w:tc>
          <w:tcPr>
            <w:tcW w:w="7371" w:type="dxa"/>
          </w:tcPr>
          <w:p w14:paraId="54B14DA6" w14:textId="0D472700" w:rsidR="004D1447" w:rsidRPr="004D1447" w:rsidRDefault="004D1447">
            <w:pPr>
              <w:rPr>
                <w:rFonts w:asciiTheme="majorHAnsi" w:eastAsiaTheme="majorHAnsi" w:hAnsiTheme="majorHAnsi"/>
              </w:rPr>
            </w:pPr>
            <w:r w:rsidRPr="004D1447">
              <w:rPr>
                <w:rFonts w:asciiTheme="majorHAnsi" w:eastAsiaTheme="majorHAnsi" w:hAnsiTheme="majorHAnsi" w:hint="eastAsia"/>
              </w:rPr>
              <w:t>本取組みを推進するためには、</w:t>
            </w:r>
            <w:r w:rsidRPr="004D1447">
              <w:rPr>
                <w:rFonts w:asciiTheme="majorHAnsi" w:eastAsiaTheme="majorHAnsi" w:hAnsiTheme="majorHAnsi"/>
              </w:rPr>
              <w:t>NPOや企業等外部との連携などの環境づくりを図ることが必要と認識しているが、本取組が、新たなおおさか農政アクションプラン（H29～33）における「農業・農空間での活動に参加しやすい仕組みづくり」の取組みそのものであることから、目標設定は当該プランと整合させている。</w:t>
            </w:r>
            <w:r w:rsidRPr="004D1447">
              <w:rPr>
                <w:rFonts w:asciiTheme="majorHAnsi" w:eastAsiaTheme="majorHAnsi" w:hAnsiTheme="majorHAnsi" w:hint="eastAsia"/>
              </w:rPr>
              <w:t>ご提案については、</w:t>
            </w:r>
            <w:r w:rsidRPr="004D1447">
              <w:rPr>
                <w:rFonts w:asciiTheme="majorHAnsi" w:eastAsiaTheme="majorHAnsi" w:hAnsiTheme="majorHAnsi"/>
              </w:rPr>
              <w:t>当該プランの目標の見直しの際に、参考にさせていただく。</w:t>
            </w:r>
          </w:p>
        </w:tc>
      </w:tr>
    </w:tbl>
    <w:p w14:paraId="6F3B45E9" w14:textId="77777777" w:rsidR="006D30CE" w:rsidRPr="004D1447" w:rsidRDefault="006D30CE">
      <w:pPr>
        <w:rPr>
          <w:rFonts w:asciiTheme="majorHAnsi" w:eastAsiaTheme="majorHAnsi" w:hAnsiTheme="majorHAnsi"/>
        </w:rPr>
      </w:pPr>
    </w:p>
    <w:p w14:paraId="4CE79831" w14:textId="77777777" w:rsidR="004D1447" w:rsidRDefault="004D1447">
      <w:pPr>
        <w:widowControl/>
        <w:jc w:val="left"/>
        <w:rPr>
          <w:rFonts w:asciiTheme="majorHAnsi" w:eastAsiaTheme="majorHAnsi" w:hAnsiTheme="majorHAnsi"/>
        </w:rPr>
      </w:pPr>
      <w:r>
        <w:rPr>
          <w:rFonts w:asciiTheme="majorHAnsi" w:eastAsiaTheme="majorHAnsi" w:hAnsiTheme="majorHAnsi"/>
        </w:rPr>
        <w:br w:type="page"/>
      </w:r>
    </w:p>
    <w:p w14:paraId="4FF5DE79" w14:textId="36B6912B" w:rsidR="006D30CE" w:rsidRPr="004D1447" w:rsidRDefault="006D30CE">
      <w:pPr>
        <w:rPr>
          <w:rFonts w:asciiTheme="majorHAnsi" w:eastAsiaTheme="majorHAnsi" w:hAnsiTheme="majorHAnsi"/>
        </w:rPr>
      </w:pPr>
      <w:r w:rsidRPr="004D1447">
        <w:rPr>
          <w:rFonts w:asciiTheme="majorHAnsi" w:eastAsiaTheme="majorHAnsi" w:hAnsiTheme="majorHAnsi" w:hint="eastAsia"/>
        </w:rPr>
        <w:lastRenderedPageBreak/>
        <w:t>＜資料２</w:t>
      </w:r>
      <w:r w:rsidR="00D81937">
        <w:rPr>
          <w:rFonts w:asciiTheme="majorHAnsi" w:eastAsiaTheme="majorHAnsi" w:hAnsiTheme="majorHAnsi" w:hint="eastAsia"/>
        </w:rPr>
        <w:t>関係</w:t>
      </w:r>
      <w:r w:rsidRPr="004D1447">
        <w:rPr>
          <w:rFonts w:asciiTheme="majorHAnsi" w:eastAsiaTheme="majorHAnsi" w:hAnsiTheme="majorHAnsi" w:hint="eastAsia"/>
        </w:rPr>
        <w:t>＞</w:t>
      </w:r>
    </w:p>
    <w:tbl>
      <w:tblPr>
        <w:tblStyle w:val="a3"/>
        <w:tblW w:w="14742" w:type="dxa"/>
        <w:tblInd w:w="-5" w:type="dxa"/>
        <w:tblLook w:val="04A0" w:firstRow="1" w:lastRow="0" w:firstColumn="1" w:lastColumn="0" w:noHBand="0" w:noVBand="1"/>
      </w:tblPr>
      <w:tblGrid>
        <w:gridCol w:w="7371"/>
        <w:gridCol w:w="7371"/>
      </w:tblGrid>
      <w:tr w:rsidR="004D1447" w:rsidRPr="004D1447" w14:paraId="6D20A4A2" w14:textId="77777777" w:rsidTr="004D1447">
        <w:trPr>
          <w:cantSplit/>
          <w:tblHeader/>
        </w:trPr>
        <w:tc>
          <w:tcPr>
            <w:tcW w:w="7371" w:type="dxa"/>
          </w:tcPr>
          <w:p w14:paraId="38D8150C" w14:textId="77777777" w:rsidR="004D1447" w:rsidRPr="004D1447" w:rsidRDefault="004D1447" w:rsidP="00D048C6">
            <w:pPr>
              <w:rPr>
                <w:rFonts w:asciiTheme="majorHAnsi" w:eastAsiaTheme="majorHAnsi" w:hAnsiTheme="majorHAnsi"/>
              </w:rPr>
            </w:pPr>
            <w:r w:rsidRPr="004D1447">
              <w:rPr>
                <w:rFonts w:asciiTheme="majorHAnsi" w:eastAsiaTheme="majorHAnsi" w:hAnsiTheme="majorHAnsi" w:hint="eastAsia"/>
              </w:rPr>
              <w:t>委員からの質疑</w:t>
            </w:r>
          </w:p>
        </w:tc>
        <w:tc>
          <w:tcPr>
            <w:tcW w:w="7371" w:type="dxa"/>
          </w:tcPr>
          <w:p w14:paraId="54AC32AB" w14:textId="77777777" w:rsidR="004D1447" w:rsidRPr="004D1447" w:rsidRDefault="004D1447" w:rsidP="00D048C6">
            <w:pPr>
              <w:rPr>
                <w:rFonts w:asciiTheme="majorHAnsi" w:eastAsiaTheme="majorHAnsi" w:hAnsiTheme="majorHAnsi"/>
              </w:rPr>
            </w:pPr>
            <w:r w:rsidRPr="004D1447">
              <w:rPr>
                <w:rFonts w:asciiTheme="majorHAnsi" w:eastAsiaTheme="majorHAnsi" w:hAnsiTheme="majorHAnsi" w:hint="eastAsia"/>
              </w:rPr>
              <w:t>事務局回答</w:t>
            </w:r>
          </w:p>
        </w:tc>
      </w:tr>
      <w:tr w:rsidR="004D1447" w:rsidRPr="004D1447" w14:paraId="6D8F330E" w14:textId="77777777" w:rsidTr="004D1447">
        <w:trPr>
          <w:cantSplit/>
        </w:trPr>
        <w:tc>
          <w:tcPr>
            <w:tcW w:w="7371" w:type="dxa"/>
          </w:tcPr>
          <w:p w14:paraId="2664B847"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（近藤委員）</w:t>
            </w:r>
          </w:p>
          <w:p w14:paraId="00FE39FD"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光化学オキシダント対策にシフトしていくほうがいいのではないか。</w:t>
            </w:r>
          </w:p>
          <w:p w14:paraId="3403493F"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（資料２）</w:t>
            </w:r>
          </w:p>
        </w:tc>
        <w:tc>
          <w:tcPr>
            <w:tcW w:w="7371" w:type="dxa"/>
          </w:tcPr>
          <w:p w14:paraId="7D1DC16A" w14:textId="0FF3C8EE"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光化学オキシダントの環境基準の達成率がゼロという状態が継続していることから、通常時の排出規制と併せて、光化学スモッグ予報発令等の緊急時には、対象工場にNO</w:t>
            </w:r>
            <w:r w:rsidRPr="004D1447">
              <w:rPr>
                <w:rFonts w:asciiTheme="majorHAnsi" w:eastAsiaTheme="majorHAnsi" w:hAnsiTheme="majorHAnsi"/>
              </w:rPr>
              <w:t>x</w:t>
            </w:r>
            <w:r w:rsidRPr="004D1447">
              <w:rPr>
                <w:rFonts w:asciiTheme="majorHAnsi" w:eastAsiaTheme="majorHAnsi" w:hAnsiTheme="majorHAnsi" w:hint="eastAsia"/>
              </w:rPr>
              <w:t>、VOCの削減要請を行うことにより、引き続き対策を進めていく。</w:t>
            </w:r>
          </w:p>
        </w:tc>
      </w:tr>
      <w:tr w:rsidR="004D1447" w:rsidRPr="004D1447" w14:paraId="3A481CBC" w14:textId="77777777" w:rsidTr="004D1447">
        <w:trPr>
          <w:cantSplit/>
        </w:trPr>
        <w:tc>
          <w:tcPr>
            <w:tcW w:w="7371" w:type="dxa"/>
          </w:tcPr>
          <w:p w14:paraId="08A7F1A6" w14:textId="77777777"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（貫上委員）</w:t>
            </w:r>
          </w:p>
          <w:p w14:paraId="762CA1F9" w14:textId="2DEE2CB2"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BODだけでなく、生態に影響する化学物質や大腸菌群などのほかの項目についてもフォローすべきではないか。（資料２）</w:t>
            </w:r>
          </w:p>
        </w:tc>
        <w:tc>
          <w:tcPr>
            <w:tcW w:w="7371" w:type="dxa"/>
          </w:tcPr>
          <w:p w14:paraId="294ED647" w14:textId="0EF3B686"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海域のLASや水生生物の保全にかかる項目についても、毎年測定し、すべての調査点での環境基準達成を確認している。河川の大腸菌群数も測定しているが環境基準の達成が困難な状況。</w:t>
            </w:r>
          </w:p>
        </w:tc>
      </w:tr>
      <w:tr w:rsidR="004D1447" w:rsidRPr="004D1447" w14:paraId="2295419C" w14:textId="77777777" w:rsidTr="004D1447">
        <w:trPr>
          <w:cantSplit/>
        </w:trPr>
        <w:tc>
          <w:tcPr>
            <w:tcW w:w="7371" w:type="dxa"/>
          </w:tcPr>
          <w:p w14:paraId="03DFCD16" w14:textId="77777777"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（三輪専門委員）</w:t>
            </w:r>
          </w:p>
          <w:p w14:paraId="70E29482" w14:textId="3BCB7A6B"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河川だけでなく、最下流の大阪湾の貧酸素状態の改善などに結び付けてそちらに視点をおいてはどうか。（資料２）</w:t>
            </w:r>
          </w:p>
        </w:tc>
        <w:tc>
          <w:tcPr>
            <w:tcW w:w="7371" w:type="dxa"/>
          </w:tcPr>
          <w:p w14:paraId="3F683371" w14:textId="6D357C3F" w:rsidR="004D1447" w:rsidRPr="004D1447" w:rsidRDefault="004D1447" w:rsidP="001A4E60">
            <w:pPr>
              <w:rPr>
                <w:rFonts w:asciiTheme="majorHAnsi" w:eastAsiaTheme="majorHAnsi" w:hAnsiTheme="majorHAnsi"/>
              </w:rPr>
            </w:pPr>
            <w:r w:rsidRPr="004D1447">
              <w:rPr>
                <w:rFonts w:asciiTheme="majorHAnsi" w:eastAsiaTheme="majorHAnsi" w:hAnsiTheme="majorHAnsi" w:hint="eastAsia"/>
              </w:rPr>
              <w:t>河川も海域も、環境基準項目、その他補完する項目について測定しており、毎年達成状況を確認している。なお、大阪湾の底層DOは本計画で目標を設定しており、H30年度目標達成率は58.3％であった。</w:t>
            </w:r>
          </w:p>
        </w:tc>
      </w:tr>
    </w:tbl>
    <w:p w14:paraId="5302B232" w14:textId="77777777" w:rsidR="006D30CE" w:rsidRPr="004D1447" w:rsidRDefault="006D30CE">
      <w:pPr>
        <w:rPr>
          <w:rFonts w:asciiTheme="majorHAnsi" w:eastAsiaTheme="majorHAnsi" w:hAnsiTheme="majorHAnsi"/>
        </w:rPr>
      </w:pPr>
    </w:p>
    <w:p w14:paraId="297B0EAB" w14:textId="522C3DFB" w:rsidR="006D30CE" w:rsidRPr="004D1447" w:rsidRDefault="006D30CE">
      <w:pPr>
        <w:rPr>
          <w:rFonts w:asciiTheme="majorHAnsi" w:eastAsiaTheme="majorHAnsi" w:hAnsiTheme="majorHAnsi"/>
        </w:rPr>
      </w:pPr>
      <w:r w:rsidRPr="004D1447">
        <w:rPr>
          <w:rFonts w:asciiTheme="majorHAnsi" w:eastAsiaTheme="majorHAnsi" w:hAnsiTheme="majorHAnsi" w:hint="eastAsia"/>
        </w:rPr>
        <w:t>＜資料３</w:t>
      </w:r>
      <w:r w:rsidR="00D81937">
        <w:rPr>
          <w:rFonts w:asciiTheme="majorHAnsi" w:eastAsiaTheme="majorHAnsi" w:hAnsiTheme="majorHAnsi" w:hint="eastAsia"/>
        </w:rPr>
        <w:t>関係</w:t>
      </w:r>
      <w:r w:rsidRPr="004D1447">
        <w:rPr>
          <w:rFonts w:asciiTheme="majorHAnsi" w:eastAsiaTheme="majorHAnsi" w:hAnsiTheme="majorHAnsi" w:hint="eastAsia"/>
        </w:rPr>
        <w:t>＞</w:t>
      </w:r>
    </w:p>
    <w:tbl>
      <w:tblPr>
        <w:tblStyle w:val="a3"/>
        <w:tblW w:w="14742" w:type="dxa"/>
        <w:tblInd w:w="-5" w:type="dxa"/>
        <w:tblLook w:val="04A0" w:firstRow="1" w:lastRow="0" w:firstColumn="1" w:lastColumn="0" w:noHBand="0" w:noVBand="1"/>
      </w:tblPr>
      <w:tblGrid>
        <w:gridCol w:w="7371"/>
        <w:gridCol w:w="7371"/>
      </w:tblGrid>
      <w:tr w:rsidR="004D1447" w:rsidRPr="004D1447" w14:paraId="58A44E2D" w14:textId="77777777" w:rsidTr="004D1447">
        <w:trPr>
          <w:cantSplit/>
          <w:tblHeader/>
        </w:trPr>
        <w:tc>
          <w:tcPr>
            <w:tcW w:w="7371" w:type="dxa"/>
          </w:tcPr>
          <w:p w14:paraId="36E06E07" w14:textId="7F20E664" w:rsidR="004D1447" w:rsidRPr="004D1447" w:rsidRDefault="004D1447" w:rsidP="004D1447">
            <w:pPr>
              <w:rPr>
                <w:rFonts w:asciiTheme="majorHAnsi" w:eastAsiaTheme="majorHAnsi" w:hAnsiTheme="majorHAnsi"/>
              </w:rPr>
            </w:pPr>
            <w:r w:rsidRPr="004D1447">
              <w:rPr>
                <w:rFonts w:asciiTheme="majorHAnsi" w:eastAsiaTheme="majorHAnsi" w:hAnsiTheme="majorHAnsi" w:hint="eastAsia"/>
              </w:rPr>
              <w:t>委員からの質疑</w:t>
            </w:r>
          </w:p>
        </w:tc>
        <w:tc>
          <w:tcPr>
            <w:tcW w:w="7371" w:type="dxa"/>
          </w:tcPr>
          <w:p w14:paraId="5AE9DBDB" w14:textId="2C338909" w:rsidR="004D1447" w:rsidRPr="004D1447" w:rsidRDefault="004D1447" w:rsidP="004D1447">
            <w:pPr>
              <w:rPr>
                <w:rFonts w:asciiTheme="majorHAnsi" w:eastAsiaTheme="majorHAnsi" w:hAnsiTheme="majorHAnsi" w:cs="MS UI Gothic"/>
                <w:kern w:val="0"/>
                <w:szCs w:val="18"/>
                <w:lang w:val="ja-JP"/>
              </w:rPr>
            </w:pPr>
            <w:r w:rsidRPr="004D1447">
              <w:rPr>
                <w:rFonts w:asciiTheme="majorHAnsi" w:eastAsiaTheme="majorHAnsi" w:hAnsiTheme="majorHAnsi" w:hint="eastAsia"/>
              </w:rPr>
              <w:t>事務局回答</w:t>
            </w:r>
          </w:p>
        </w:tc>
      </w:tr>
      <w:tr w:rsidR="004D1447" w:rsidRPr="004D1447" w14:paraId="7AC07D3A" w14:textId="77777777" w:rsidTr="004D1447">
        <w:trPr>
          <w:cantSplit/>
        </w:trPr>
        <w:tc>
          <w:tcPr>
            <w:tcW w:w="7371" w:type="dxa"/>
          </w:tcPr>
          <w:p w14:paraId="70EE7C2D"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（石井部会長）</w:t>
            </w:r>
          </w:p>
          <w:p w14:paraId="081EC42F" w14:textId="77777777" w:rsidR="004D1447" w:rsidRPr="004D1447" w:rsidRDefault="004D1447" w:rsidP="007570D3">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生物多様性の認知度の低さ、活動する府民の割合の低さについて、現状認識を問う。</w:t>
            </w:r>
          </w:p>
          <w:p w14:paraId="1F59000A"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cs="MS UI Gothic" w:hint="eastAsia"/>
                <w:kern w:val="0"/>
                <w:szCs w:val="18"/>
                <w:lang w:val="ja-JP"/>
              </w:rPr>
              <w:t>（資料３）</w:t>
            </w:r>
          </w:p>
        </w:tc>
        <w:tc>
          <w:tcPr>
            <w:tcW w:w="7371" w:type="dxa"/>
          </w:tcPr>
          <w:p w14:paraId="3463459E" w14:textId="77777777" w:rsidR="004D1447" w:rsidRPr="004D1447" w:rsidRDefault="004D1447" w:rsidP="007570D3">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単純な認知度だけでなく、生物多様性に関わる項目のいずれかについて知っている割合は、概ね70</w:t>
            </w:r>
            <w:r w:rsidRPr="004D1447">
              <w:rPr>
                <w:rFonts w:asciiTheme="majorHAnsi" w:eastAsiaTheme="majorHAnsi" w:hAnsiTheme="majorHAnsi" w:cs="MS UI Gothic"/>
                <w:kern w:val="0"/>
                <w:szCs w:val="18"/>
                <w:lang w:val="ja-JP"/>
              </w:rPr>
              <w:t>%</w:t>
            </w:r>
            <w:r w:rsidRPr="004D1447">
              <w:rPr>
                <w:rFonts w:asciiTheme="majorHAnsi" w:eastAsiaTheme="majorHAnsi" w:hAnsiTheme="majorHAnsi" w:cs="MS UI Gothic" w:hint="eastAsia"/>
                <w:kern w:val="0"/>
                <w:szCs w:val="18"/>
                <w:lang w:val="ja-JP"/>
              </w:rPr>
              <w:t>まで達している。</w:t>
            </w:r>
          </w:p>
          <w:p w14:paraId="5F728AE6" w14:textId="77777777" w:rsidR="004D1447" w:rsidRPr="004D1447" w:rsidRDefault="004D1447" w:rsidP="00BD406B">
            <w:pPr>
              <w:rPr>
                <w:rFonts w:asciiTheme="majorHAnsi" w:eastAsiaTheme="majorHAnsi" w:hAnsiTheme="majorHAnsi"/>
              </w:rPr>
            </w:pPr>
            <w:r w:rsidRPr="004D1447">
              <w:rPr>
                <w:rFonts w:asciiTheme="majorHAnsi" w:eastAsiaTheme="majorHAnsi" w:hAnsiTheme="majorHAnsi" w:cs="MS UI Gothic" w:hint="eastAsia"/>
                <w:kern w:val="0"/>
                <w:szCs w:val="18"/>
                <w:lang w:val="ja-JP"/>
              </w:rPr>
              <w:t>活動する府民の割合の倍増については、横の連携により、知り、知らせ、考えていく場をつくっていくなどにより継続して取り組んでいく。</w:t>
            </w:r>
          </w:p>
        </w:tc>
      </w:tr>
      <w:tr w:rsidR="004D1447" w:rsidRPr="004D1447" w14:paraId="126EED04" w14:textId="77777777" w:rsidTr="004D1447">
        <w:trPr>
          <w:cantSplit/>
        </w:trPr>
        <w:tc>
          <w:tcPr>
            <w:tcW w:w="7371" w:type="dxa"/>
          </w:tcPr>
          <w:p w14:paraId="459118B3"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（加賀委員）</w:t>
            </w:r>
          </w:p>
          <w:p w14:paraId="6A6D63F7" w14:textId="77777777" w:rsidR="004D1447" w:rsidRPr="004D1447" w:rsidRDefault="004D1447" w:rsidP="007570D3">
            <w:pPr>
              <w:rPr>
                <w:rFonts w:asciiTheme="majorHAnsi" w:eastAsiaTheme="majorHAnsi" w:hAnsiTheme="majorHAnsi" w:cs="MS UI Gothic"/>
                <w:kern w:val="0"/>
                <w:szCs w:val="18"/>
                <w:lang w:val="ja-JP"/>
              </w:rPr>
            </w:pPr>
            <w:r w:rsidRPr="004D1447">
              <w:rPr>
                <w:rFonts w:asciiTheme="majorHAnsi" w:eastAsiaTheme="majorHAnsi" w:hAnsiTheme="majorHAnsi" w:hint="eastAsia"/>
              </w:rPr>
              <w:t>アンケート調査方法の変更について問う。</w:t>
            </w:r>
            <w:r w:rsidRPr="004D1447">
              <w:rPr>
                <w:rFonts w:asciiTheme="majorHAnsi" w:eastAsiaTheme="majorHAnsi" w:hAnsiTheme="majorHAnsi" w:cs="MS UI Gothic" w:hint="eastAsia"/>
                <w:kern w:val="0"/>
                <w:szCs w:val="18"/>
                <w:lang w:val="ja-JP"/>
              </w:rPr>
              <w:t>世代・性別・居住地などが均等にとれるような形で実施されているのか。調査を分析できる形で実施されているのか。</w:t>
            </w:r>
          </w:p>
          <w:p w14:paraId="01A0EBE0"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cs="MS UI Gothic" w:hint="eastAsia"/>
                <w:kern w:val="0"/>
                <w:szCs w:val="18"/>
                <w:lang w:val="ja-JP"/>
              </w:rPr>
              <w:t>調査対象数（1</w:t>
            </w:r>
            <w:r w:rsidRPr="004D1447">
              <w:rPr>
                <w:rFonts w:asciiTheme="majorHAnsi" w:eastAsiaTheme="majorHAnsi" w:hAnsiTheme="majorHAnsi" w:cs="MS UI Gothic"/>
                <w:kern w:val="0"/>
                <w:szCs w:val="18"/>
                <w:lang w:val="ja-JP"/>
              </w:rPr>
              <w:t>000</w:t>
            </w:r>
            <w:r w:rsidRPr="004D1447">
              <w:rPr>
                <w:rFonts w:asciiTheme="majorHAnsi" w:eastAsiaTheme="majorHAnsi" w:hAnsiTheme="majorHAnsi" w:cs="MS UI Gothic" w:hint="eastAsia"/>
                <w:kern w:val="0"/>
                <w:szCs w:val="18"/>
                <w:lang w:val="ja-JP"/>
              </w:rPr>
              <w:t>人）について、統計的には少なすぎる。（資料３）</w:t>
            </w:r>
          </w:p>
        </w:tc>
        <w:tc>
          <w:tcPr>
            <w:tcW w:w="7371" w:type="dxa"/>
          </w:tcPr>
          <w:p w14:paraId="1585AE7E" w14:textId="77777777" w:rsidR="004D1447" w:rsidRPr="004D1447" w:rsidRDefault="004D1447" w:rsidP="00BD406B">
            <w:pPr>
              <w:rPr>
                <w:rFonts w:asciiTheme="majorHAnsi" w:eastAsiaTheme="majorHAnsi" w:hAnsiTheme="majorHAnsi"/>
              </w:rPr>
            </w:pPr>
            <w:r w:rsidRPr="004D1447">
              <w:rPr>
                <w:rFonts w:asciiTheme="majorHAnsi" w:eastAsiaTheme="majorHAnsi" w:hAnsiTheme="majorHAnsi" w:cs="MS UI Gothic" w:hint="eastAsia"/>
                <w:kern w:val="0"/>
                <w:szCs w:val="18"/>
                <w:lang w:val="ja-JP"/>
              </w:rPr>
              <w:t>府政モニターから一般のインターネット調査会社のモニターに変更したことにより、府政に関心のある特定の層からより一般的な層を対象としたものになった。府民1</w:t>
            </w:r>
            <w:r w:rsidRPr="004D1447">
              <w:rPr>
                <w:rFonts w:asciiTheme="majorHAnsi" w:eastAsiaTheme="majorHAnsi" w:hAnsiTheme="majorHAnsi" w:cs="MS UI Gothic"/>
                <w:kern w:val="0"/>
                <w:szCs w:val="18"/>
                <w:lang w:val="ja-JP"/>
              </w:rPr>
              <w:t>,000</w:t>
            </w:r>
            <w:r w:rsidRPr="004D1447">
              <w:rPr>
                <w:rFonts w:asciiTheme="majorHAnsi" w:eastAsiaTheme="majorHAnsi" w:hAnsiTheme="majorHAnsi" w:cs="MS UI Gothic" w:hint="eastAsia"/>
                <w:kern w:val="0"/>
                <w:szCs w:val="18"/>
                <w:lang w:val="ja-JP"/>
              </w:rPr>
              <w:t>人にアンケートを行い、国勢調査結果</w:t>
            </w:r>
            <w:r w:rsidRPr="004D1447">
              <w:rPr>
                <w:rFonts w:asciiTheme="majorHAnsi" w:eastAsiaTheme="majorHAnsi" w:hAnsiTheme="majorHAnsi" w:cs="MS UI Gothic"/>
                <w:kern w:val="0"/>
                <w:szCs w:val="18"/>
                <w:lang w:val="ja-JP"/>
              </w:rPr>
              <w:t>に基づく性・年代・居住地の割合で割り付け</w:t>
            </w:r>
            <w:r w:rsidRPr="004D1447">
              <w:rPr>
                <w:rFonts w:asciiTheme="majorHAnsi" w:eastAsiaTheme="majorHAnsi" w:hAnsiTheme="majorHAnsi" w:cs="MS UI Gothic" w:hint="eastAsia"/>
                <w:kern w:val="0"/>
                <w:szCs w:val="18"/>
                <w:lang w:val="ja-JP"/>
              </w:rPr>
              <w:t>ており、クロス集計なども可能。</w:t>
            </w:r>
          </w:p>
        </w:tc>
      </w:tr>
      <w:tr w:rsidR="004D1447" w:rsidRPr="004D1447" w14:paraId="41CA5931" w14:textId="77777777" w:rsidTr="004D1447">
        <w:trPr>
          <w:cantSplit/>
        </w:trPr>
        <w:tc>
          <w:tcPr>
            <w:tcW w:w="7371" w:type="dxa"/>
          </w:tcPr>
          <w:p w14:paraId="448777D6"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lastRenderedPageBreak/>
              <w:t>（近藤委員）</w:t>
            </w:r>
          </w:p>
          <w:p w14:paraId="1C0D2E3A" w14:textId="77777777" w:rsidR="004D1447" w:rsidRPr="004D1447" w:rsidRDefault="004D1447" w:rsidP="00EA4313">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すべての地点でNOx、</w:t>
            </w:r>
            <w:r w:rsidRPr="004D1447">
              <w:rPr>
                <w:rFonts w:asciiTheme="majorHAnsi" w:eastAsiaTheme="majorHAnsi" w:hAnsiTheme="majorHAnsi" w:cs="MS UI Gothic"/>
                <w:kern w:val="0"/>
                <w:szCs w:val="18"/>
                <w:lang w:val="ja-JP"/>
              </w:rPr>
              <w:t>S</w:t>
            </w:r>
            <w:r w:rsidRPr="004D1447">
              <w:rPr>
                <w:rFonts w:asciiTheme="majorHAnsi" w:eastAsiaTheme="majorHAnsi" w:hAnsiTheme="majorHAnsi" w:cs="MS UI Gothic" w:hint="eastAsia"/>
                <w:kern w:val="0"/>
                <w:szCs w:val="18"/>
                <w:lang w:val="ja-JP"/>
              </w:rPr>
              <w:t>PMの基準を満足するという点も踏まえて検討されたい。（資料３）</w:t>
            </w:r>
          </w:p>
        </w:tc>
        <w:tc>
          <w:tcPr>
            <w:tcW w:w="7371" w:type="dxa"/>
          </w:tcPr>
          <w:p w14:paraId="40B3269C" w14:textId="063FD06A"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大阪府自動車NOX・PM総量削減計画（第３次）に基づき、全ての地点でＮＯ２、ＳＰＭの環境基準を達成又は維持していくため、引き続き関係機関と連携し、様々な沿道対策を進めていく。</w:t>
            </w:r>
          </w:p>
        </w:tc>
      </w:tr>
      <w:tr w:rsidR="004D1447" w:rsidRPr="004D1447" w14:paraId="3E2D1BEC" w14:textId="77777777" w:rsidTr="004D1447">
        <w:trPr>
          <w:cantSplit/>
        </w:trPr>
        <w:tc>
          <w:tcPr>
            <w:tcW w:w="7371" w:type="dxa"/>
          </w:tcPr>
          <w:p w14:paraId="0ACC90FC"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（秋元専門委員）</w:t>
            </w:r>
          </w:p>
          <w:p w14:paraId="64E2C167" w14:textId="77777777" w:rsidR="004D1447" w:rsidRPr="004D1447" w:rsidRDefault="004D1447" w:rsidP="00EA4313">
            <w:pPr>
              <w:rPr>
                <w:rFonts w:asciiTheme="majorHAnsi" w:eastAsiaTheme="majorHAnsi" w:hAnsiTheme="majorHAnsi"/>
              </w:rPr>
            </w:pPr>
            <w:r w:rsidRPr="004D1447">
              <w:rPr>
                <w:rFonts w:asciiTheme="majorHAnsi" w:eastAsiaTheme="majorHAnsi" w:hAnsiTheme="majorHAnsi" w:cs="MS UI Gothic" w:hint="eastAsia"/>
                <w:kern w:val="0"/>
                <w:szCs w:val="18"/>
                <w:lang w:val="ja-JP"/>
              </w:rPr>
              <w:t>温室効果ガス排出量の削減について、経済の動向を踏まえた評価が必要で、次の目標を策定するときに、どういった思想でこの目標を定めていくのかという点を今後さらに議論したい。（資料３）</w:t>
            </w:r>
          </w:p>
        </w:tc>
        <w:tc>
          <w:tcPr>
            <w:tcW w:w="7371" w:type="dxa"/>
          </w:tcPr>
          <w:p w14:paraId="5C234E58" w14:textId="6E9553B8" w:rsidR="004D1447" w:rsidRPr="004D1447" w:rsidRDefault="004D1447" w:rsidP="00C3117F">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経済の動向を踏まえた評価は難しいが、エネルギー消費量という観点からみると、エネルギーは減っているものの、温室効果ガスは増えているという状況であり、これは電気の排出係数も影響している。</w:t>
            </w:r>
          </w:p>
          <w:p w14:paraId="45AB38C9" w14:textId="71B99F25" w:rsidR="004D1447" w:rsidRPr="004D1447" w:rsidRDefault="004D1447" w:rsidP="00C3117F">
            <w:pPr>
              <w:rPr>
                <w:rFonts w:asciiTheme="majorHAnsi" w:eastAsiaTheme="majorHAnsi" w:hAnsiTheme="majorHAnsi" w:cs="MS UI Gothic"/>
                <w:kern w:val="0"/>
                <w:szCs w:val="18"/>
                <w:lang w:val="ja-JP"/>
              </w:rPr>
            </w:pPr>
            <w:r w:rsidRPr="004D1447">
              <w:rPr>
                <w:rFonts w:asciiTheme="majorHAnsi" w:eastAsiaTheme="majorHAnsi" w:hAnsiTheme="majorHAnsi" w:cs="MS UI Gothic" w:hint="eastAsia"/>
                <w:kern w:val="0"/>
                <w:szCs w:val="18"/>
                <w:lang w:val="ja-JP"/>
              </w:rPr>
              <w:t>次期温暖化対策計画の目標を設定するときには、温暖化対策部会におけるそれらの課題に関するご議論を踏まえて検討したい。</w:t>
            </w:r>
          </w:p>
        </w:tc>
      </w:tr>
      <w:tr w:rsidR="004D1447" w:rsidRPr="004D1447" w14:paraId="3D622AF3" w14:textId="77777777" w:rsidTr="004D1447">
        <w:trPr>
          <w:cantSplit/>
        </w:trPr>
        <w:tc>
          <w:tcPr>
            <w:tcW w:w="7371" w:type="dxa"/>
          </w:tcPr>
          <w:p w14:paraId="63950393"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hint="eastAsia"/>
              </w:rPr>
              <w:t>（三輪専門委員）</w:t>
            </w:r>
          </w:p>
          <w:p w14:paraId="66B70C3F" w14:textId="77777777" w:rsidR="004D1447" w:rsidRPr="004D1447" w:rsidRDefault="004D1447" w:rsidP="007570D3">
            <w:pPr>
              <w:rPr>
                <w:rFonts w:asciiTheme="majorHAnsi" w:eastAsiaTheme="majorHAnsi" w:hAnsiTheme="majorHAnsi"/>
              </w:rPr>
            </w:pPr>
            <w:r w:rsidRPr="004D1447">
              <w:rPr>
                <w:rFonts w:asciiTheme="majorHAnsi" w:eastAsiaTheme="majorHAnsi" w:hAnsiTheme="majorHAnsi" w:cs="MS UI Gothic" w:hint="eastAsia"/>
                <w:kern w:val="0"/>
                <w:szCs w:val="18"/>
                <w:lang w:val="ja-JP"/>
              </w:rPr>
              <w:t>藻場面積の目標400haに関し、目標値の設定根拠や目標達成に向けた府の取組方針について問う。（資料３）</w:t>
            </w:r>
          </w:p>
        </w:tc>
        <w:tc>
          <w:tcPr>
            <w:tcW w:w="7371" w:type="dxa"/>
          </w:tcPr>
          <w:p w14:paraId="290A7F17" w14:textId="79790E5F" w:rsidR="004D1447" w:rsidRPr="004D1447" w:rsidRDefault="004D1447" w:rsidP="004D1447">
            <w:pPr>
              <w:rPr>
                <w:rFonts w:asciiTheme="majorHAnsi" w:eastAsiaTheme="majorHAnsi" w:hAnsiTheme="majorHAnsi"/>
              </w:rPr>
            </w:pPr>
            <w:r w:rsidRPr="004D1447">
              <w:rPr>
                <w:rFonts w:asciiTheme="majorHAnsi" w:eastAsiaTheme="majorHAnsi" w:hAnsiTheme="majorHAnsi" w:hint="eastAsia"/>
              </w:rPr>
              <w:t>計画策定時点で、大阪府海域の藻場面積は約360haで、水産課が当時実施していた、浅海域への増殖礁の設置（増殖場造成事業）等により年４ha程度藻場が新たに形成されると考えられたため、400haという目標を設定した。</w:t>
            </w:r>
          </w:p>
          <w:p w14:paraId="12BA6814" w14:textId="77777777" w:rsidR="004D1447" w:rsidRPr="004D1447" w:rsidRDefault="004D1447" w:rsidP="004D1447">
            <w:pPr>
              <w:rPr>
                <w:rFonts w:asciiTheme="majorHAnsi" w:eastAsiaTheme="majorHAnsi" w:hAnsiTheme="majorHAnsi"/>
              </w:rPr>
            </w:pPr>
            <w:r w:rsidRPr="004D1447">
              <w:rPr>
                <w:rFonts w:asciiTheme="majorHAnsi" w:eastAsiaTheme="majorHAnsi" w:hAnsiTheme="majorHAnsi" w:hint="eastAsia"/>
              </w:rPr>
              <w:t>しかし、平成26年度より増殖場の整備から、より深い海域に漁場環境の改善を目的とした攪拌ブロック礁を設置する広域型整備に移行したため、藻場の面積については平成25年以降、増加していない。</w:t>
            </w:r>
          </w:p>
          <w:p w14:paraId="175DB1AB" w14:textId="14378F20" w:rsidR="004D1447" w:rsidRPr="004D1447" w:rsidRDefault="004D1447" w:rsidP="004D1447">
            <w:pPr>
              <w:rPr>
                <w:rFonts w:asciiTheme="majorHAnsi" w:eastAsiaTheme="majorHAnsi" w:hAnsiTheme="majorHAnsi"/>
              </w:rPr>
            </w:pPr>
            <w:r w:rsidRPr="004D1447">
              <w:rPr>
                <w:rFonts w:asciiTheme="majorHAnsi" w:eastAsiaTheme="majorHAnsi" w:hAnsiTheme="majorHAnsi" w:hint="eastAsia"/>
              </w:rPr>
              <w:t>水産課の施策の方向性としては、藻場の造成だけでなく、魚介類の生息空間の創出、漁業生産力の底上げといった幅広い観点から、引き続き漁場整備事業を推進していく。</w:t>
            </w:r>
          </w:p>
        </w:tc>
      </w:tr>
    </w:tbl>
    <w:p w14:paraId="4DD921E3" w14:textId="6BC661C5" w:rsidR="008100AE" w:rsidRPr="004D1447" w:rsidRDefault="008100AE">
      <w:pPr>
        <w:rPr>
          <w:rFonts w:asciiTheme="majorHAnsi" w:eastAsiaTheme="majorHAnsi" w:hAnsiTheme="majorHAnsi"/>
        </w:rPr>
      </w:pPr>
    </w:p>
    <w:sectPr w:rsidR="008100AE" w:rsidRPr="004D1447" w:rsidSect="00BD406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0D5B" w14:textId="77777777" w:rsidR="00DF647A" w:rsidRDefault="00DF647A" w:rsidP="00846BE6">
      <w:r>
        <w:separator/>
      </w:r>
    </w:p>
  </w:endnote>
  <w:endnote w:type="continuationSeparator" w:id="0">
    <w:p w14:paraId="628D61E0" w14:textId="77777777" w:rsidR="00DF647A" w:rsidRDefault="00DF647A" w:rsidP="0084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15E77" w14:textId="77777777" w:rsidR="00DF647A" w:rsidRDefault="00DF647A" w:rsidP="00846BE6">
      <w:r>
        <w:separator/>
      </w:r>
    </w:p>
  </w:footnote>
  <w:footnote w:type="continuationSeparator" w:id="0">
    <w:p w14:paraId="1CDD2CD4" w14:textId="77777777" w:rsidR="00DF647A" w:rsidRDefault="00DF647A" w:rsidP="0084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AE"/>
    <w:rsid w:val="0006023C"/>
    <w:rsid w:val="00071A78"/>
    <w:rsid w:val="00081B73"/>
    <w:rsid w:val="000822FE"/>
    <w:rsid w:val="00096D91"/>
    <w:rsid w:val="000B7E6E"/>
    <w:rsid w:val="00104E52"/>
    <w:rsid w:val="00147599"/>
    <w:rsid w:val="001510B8"/>
    <w:rsid w:val="00191C10"/>
    <w:rsid w:val="001A4E60"/>
    <w:rsid w:val="001F04E1"/>
    <w:rsid w:val="001F3633"/>
    <w:rsid w:val="00232D81"/>
    <w:rsid w:val="00353CE5"/>
    <w:rsid w:val="003942FA"/>
    <w:rsid w:val="003A1B85"/>
    <w:rsid w:val="003F5634"/>
    <w:rsid w:val="0049415E"/>
    <w:rsid w:val="004D1447"/>
    <w:rsid w:val="004D2A8B"/>
    <w:rsid w:val="004D442F"/>
    <w:rsid w:val="00633E19"/>
    <w:rsid w:val="006A140C"/>
    <w:rsid w:val="006D30CE"/>
    <w:rsid w:val="006D61B7"/>
    <w:rsid w:val="00736397"/>
    <w:rsid w:val="007570D3"/>
    <w:rsid w:val="008100AE"/>
    <w:rsid w:val="00846BE6"/>
    <w:rsid w:val="00925F97"/>
    <w:rsid w:val="00947E34"/>
    <w:rsid w:val="009A61AC"/>
    <w:rsid w:val="009E7DB5"/>
    <w:rsid w:val="009F019E"/>
    <w:rsid w:val="00A440B0"/>
    <w:rsid w:val="00BD406B"/>
    <w:rsid w:val="00C3117F"/>
    <w:rsid w:val="00D81937"/>
    <w:rsid w:val="00DF647A"/>
    <w:rsid w:val="00E44EEB"/>
    <w:rsid w:val="00E53768"/>
    <w:rsid w:val="00E71B62"/>
    <w:rsid w:val="00E9345C"/>
    <w:rsid w:val="00EA4313"/>
    <w:rsid w:val="00F15EE2"/>
    <w:rsid w:val="00F34E8F"/>
    <w:rsid w:val="00FA4B93"/>
    <w:rsid w:val="00FE1FB4"/>
    <w:rsid w:val="00FE7525"/>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6FFE9D"/>
  <w15:chartTrackingRefBased/>
  <w15:docId w15:val="{78B4D47D-421F-4F01-91D9-F8B9A1E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D30CE"/>
    <w:rPr>
      <w:sz w:val="18"/>
      <w:szCs w:val="18"/>
    </w:rPr>
  </w:style>
  <w:style w:type="paragraph" w:styleId="a5">
    <w:name w:val="annotation text"/>
    <w:basedOn w:val="a"/>
    <w:link w:val="a6"/>
    <w:uiPriority w:val="99"/>
    <w:semiHidden/>
    <w:unhideWhenUsed/>
    <w:rsid w:val="006D30CE"/>
    <w:pPr>
      <w:jc w:val="left"/>
    </w:pPr>
  </w:style>
  <w:style w:type="character" w:customStyle="1" w:styleId="a6">
    <w:name w:val="コメント文字列 (文字)"/>
    <w:basedOn w:val="a0"/>
    <w:link w:val="a5"/>
    <w:uiPriority w:val="99"/>
    <w:semiHidden/>
    <w:rsid w:val="006D30CE"/>
  </w:style>
  <w:style w:type="paragraph" w:styleId="a7">
    <w:name w:val="annotation subject"/>
    <w:basedOn w:val="a5"/>
    <w:next w:val="a5"/>
    <w:link w:val="a8"/>
    <w:uiPriority w:val="99"/>
    <w:semiHidden/>
    <w:unhideWhenUsed/>
    <w:rsid w:val="006D30CE"/>
    <w:rPr>
      <w:b/>
      <w:bCs/>
    </w:rPr>
  </w:style>
  <w:style w:type="character" w:customStyle="1" w:styleId="a8">
    <w:name w:val="コメント内容 (文字)"/>
    <w:basedOn w:val="a6"/>
    <w:link w:val="a7"/>
    <w:uiPriority w:val="99"/>
    <w:semiHidden/>
    <w:rsid w:val="006D30CE"/>
    <w:rPr>
      <w:b/>
      <w:bCs/>
    </w:rPr>
  </w:style>
  <w:style w:type="paragraph" w:styleId="a9">
    <w:name w:val="Balloon Text"/>
    <w:basedOn w:val="a"/>
    <w:link w:val="aa"/>
    <w:uiPriority w:val="99"/>
    <w:semiHidden/>
    <w:unhideWhenUsed/>
    <w:rsid w:val="006D3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0CE"/>
    <w:rPr>
      <w:rFonts w:asciiTheme="majorHAnsi" w:eastAsiaTheme="majorEastAsia" w:hAnsiTheme="majorHAnsi" w:cstheme="majorBidi"/>
      <w:sz w:val="18"/>
      <w:szCs w:val="18"/>
    </w:rPr>
  </w:style>
  <w:style w:type="paragraph" w:styleId="ab">
    <w:name w:val="header"/>
    <w:basedOn w:val="a"/>
    <w:link w:val="ac"/>
    <w:uiPriority w:val="99"/>
    <w:unhideWhenUsed/>
    <w:rsid w:val="00846BE6"/>
    <w:pPr>
      <w:tabs>
        <w:tab w:val="center" w:pos="4252"/>
        <w:tab w:val="right" w:pos="8504"/>
      </w:tabs>
      <w:snapToGrid w:val="0"/>
    </w:pPr>
  </w:style>
  <w:style w:type="character" w:customStyle="1" w:styleId="ac">
    <w:name w:val="ヘッダー (文字)"/>
    <w:basedOn w:val="a0"/>
    <w:link w:val="ab"/>
    <w:uiPriority w:val="99"/>
    <w:rsid w:val="00846BE6"/>
  </w:style>
  <w:style w:type="paragraph" w:styleId="ad">
    <w:name w:val="footer"/>
    <w:basedOn w:val="a"/>
    <w:link w:val="ae"/>
    <w:uiPriority w:val="99"/>
    <w:unhideWhenUsed/>
    <w:rsid w:val="00846BE6"/>
    <w:pPr>
      <w:tabs>
        <w:tab w:val="center" w:pos="4252"/>
        <w:tab w:val="right" w:pos="8504"/>
      </w:tabs>
      <w:snapToGrid w:val="0"/>
    </w:pPr>
  </w:style>
  <w:style w:type="character" w:customStyle="1" w:styleId="ae">
    <w:name w:val="フッター (文字)"/>
    <w:basedOn w:val="a0"/>
    <w:link w:val="ad"/>
    <w:uiPriority w:val="99"/>
    <w:rsid w:val="0084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03557-651D-488E-9216-EECD002EFD3D}">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B9683F-E58D-4111-AF78-06BD88F9C3CD}">
  <ds:schemaRefs>
    <ds:schemaRef ds:uri="http://schemas.microsoft.com/sharepoint/v3/contenttype/forms"/>
  </ds:schemaRefs>
</ds:datastoreItem>
</file>

<file path=customXml/itemProps3.xml><?xml version="1.0" encoding="utf-8"?>
<ds:datastoreItem xmlns:ds="http://schemas.openxmlformats.org/officeDocument/2006/customXml" ds:itemID="{A91A1DF5-6738-45DC-A7A4-8A0E94EF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11</cp:revision>
  <cp:lastPrinted>2019-09-11T06:41:00Z</cp:lastPrinted>
  <dcterms:created xsi:type="dcterms:W3CDTF">2019-09-11T06:07:00Z</dcterms:created>
  <dcterms:modified xsi:type="dcterms:W3CDTF">2019-10-21T06:20:00Z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