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A0" w:rsidRPr="00635BA9" w:rsidRDefault="00722BA0" w:rsidP="00722BA0">
      <w:pPr>
        <w:adjustRightInd w:val="0"/>
        <w:snapToGrid w:val="0"/>
        <w:spacing w:line="280" w:lineRule="exact"/>
        <w:jc w:val="center"/>
        <w:rPr>
          <w:rFonts w:ascii="HG丸ｺﾞｼｯｸM-PRO" w:eastAsia="HG丸ｺﾞｼｯｸM-PRO" w:hAnsi="HG丸ｺﾞｼｯｸM-PRO"/>
          <w:b/>
          <w:sz w:val="22"/>
          <w:szCs w:val="20"/>
        </w:rPr>
      </w:pPr>
      <w:r w:rsidRPr="00635BA9">
        <w:rPr>
          <w:rFonts w:ascii="HG丸ｺﾞｼｯｸM-PRO" w:eastAsia="HG丸ｺﾞｼｯｸM-PRO" w:hAnsi="HG丸ｺﾞｼｯｸM-PRO" w:hint="eastAsia"/>
          <w:b/>
          <w:sz w:val="22"/>
          <w:szCs w:val="20"/>
        </w:rPr>
        <w:t>２０１7年（平成２9年度）複数年サイクル点検評価レポート【施策評価】</w:t>
      </w:r>
    </w:p>
    <w:p w:rsidR="00D4719D" w:rsidRPr="00635BA9" w:rsidRDefault="00D4719D" w:rsidP="00C4727D">
      <w:pPr>
        <w:adjustRightInd w:val="0"/>
        <w:snapToGrid w:val="0"/>
        <w:spacing w:line="16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3"/>
        <w:tblW w:w="14743" w:type="dxa"/>
        <w:tblInd w:w="108" w:type="dxa"/>
        <w:tblLook w:val="04A0" w:firstRow="1" w:lastRow="0" w:firstColumn="1" w:lastColumn="0" w:noHBand="0" w:noVBand="1"/>
      </w:tblPr>
      <w:tblGrid>
        <w:gridCol w:w="993"/>
        <w:gridCol w:w="5103"/>
        <w:gridCol w:w="1138"/>
        <w:gridCol w:w="1275"/>
        <w:gridCol w:w="993"/>
        <w:gridCol w:w="5241"/>
      </w:tblGrid>
      <w:tr w:rsidR="00635BA9" w:rsidRPr="00635BA9" w:rsidTr="007963EF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635BA9" w:rsidRDefault="00AB4937" w:rsidP="00460322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分野名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AB4937" w:rsidRPr="00635BA9" w:rsidRDefault="00F248FA" w:rsidP="00F248F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Ⅱ</w:t>
            </w:r>
            <w:r w:rsidR="002F4EE8" w:rsidRPr="00635BA9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-</w:t>
            </w:r>
            <w:r w:rsidRPr="00635BA9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4(1)</w:t>
            </w:r>
            <w:r w:rsidR="002F4EE8" w:rsidRPr="00635BA9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健康で安心して暮らせる社会の構築</w:t>
            </w:r>
            <w:r w:rsidRPr="00635BA9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（良好な大気環境を確保するために）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635BA9" w:rsidRDefault="00AB4937" w:rsidP="00460322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施策No.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AB4937" w:rsidRPr="00635BA9" w:rsidRDefault="00FE1CE4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635BA9" w:rsidRDefault="00AB4937" w:rsidP="00460322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施策名</w:t>
            </w:r>
          </w:p>
        </w:tc>
        <w:tc>
          <w:tcPr>
            <w:tcW w:w="52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937" w:rsidRPr="00635BA9" w:rsidRDefault="002F4EE8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固定発生源対策の推進</w:t>
            </w:r>
          </w:p>
        </w:tc>
      </w:tr>
    </w:tbl>
    <w:p w:rsidR="00AB4937" w:rsidRPr="00635BA9" w:rsidRDefault="00AB4937" w:rsidP="00AB4937">
      <w:pPr>
        <w:adjustRightInd w:val="0"/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14743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335"/>
        <w:gridCol w:w="397"/>
        <w:gridCol w:w="1377"/>
        <w:gridCol w:w="183"/>
        <w:gridCol w:w="992"/>
        <w:gridCol w:w="265"/>
        <w:gridCol w:w="727"/>
        <w:gridCol w:w="142"/>
        <w:gridCol w:w="709"/>
        <w:gridCol w:w="2760"/>
        <w:gridCol w:w="4752"/>
      </w:tblGrid>
      <w:tr w:rsidR="006045E0" w:rsidRPr="00635BA9" w:rsidTr="006045E0">
        <w:tc>
          <w:tcPr>
            <w:tcW w:w="2104" w:type="dxa"/>
            <w:shd w:val="clear" w:color="auto" w:fill="FFFF00"/>
          </w:tcPr>
          <w:p w:rsidR="006045E0" w:rsidRPr="00635BA9" w:rsidRDefault="006045E0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目的、内容</w:t>
            </w:r>
          </w:p>
        </w:tc>
        <w:tc>
          <w:tcPr>
            <w:tcW w:w="12639" w:type="dxa"/>
            <w:gridSpan w:val="11"/>
            <w:shd w:val="clear" w:color="auto" w:fill="auto"/>
          </w:tcPr>
          <w:p w:rsidR="006045E0" w:rsidRPr="00635BA9" w:rsidRDefault="006045E0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工場等の固定発生源対策の推進</w:t>
            </w:r>
          </w:p>
          <w:p w:rsidR="006045E0" w:rsidRPr="00635BA9" w:rsidRDefault="006045E0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NOx：法・条例規制等による排出量の削減、自主的な負荷削減への取組み促進</w:t>
            </w:r>
          </w:p>
          <w:p w:rsidR="006045E0" w:rsidRPr="00635BA9" w:rsidRDefault="006045E0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VOC：大規模排出事業所に対する排出基準遵守指導、光化学スモッグ発生時における排出削減指導、自主的取組の促進</w:t>
            </w:r>
          </w:p>
        </w:tc>
      </w:tr>
      <w:tr w:rsidR="006045E0" w:rsidRPr="00635BA9" w:rsidTr="006045E0">
        <w:tc>
          <w:tcPr>
            <w:tcW w:w="2104" w:type="dxa"/>
            <w:shd w:val="clear" w:color="auto" w:fill="FFFF00"/>
          </w:tcPr>
          <w:p w:rsidR="006045E0" w:rsidRPr="00635BA9" w:rsidRDefault="006045E0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副次的効果、外部効果等</w:t>
            </w:r>
          </w:p>
        </w:tc>
        <w:tc>
          <w:tcPr>
            <w:tcW w:w="12639" w:type="dxa"/>
            <w:gridSpan w:val="11"/>
            <w:shd w:val="clear" w:color="auto" w:fill="auto"/>
          </w:tcPr>
          <w:p w:rsidR="006045E0" w:rsidRPr="00635BA9" w:rsidRDefault="006045E0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045E0" w:rsidRPr="00635BA9" w:rsidTr="006045E0">
        <w:tc>
          <w:tcPr>
            <w:tcW w:w="2104" w:type="dxa"/>
            <w:shd w:val="clear" w:color="auto" w:fill="FFFF00"/>
          </w:tcPr>
          <w:p w:rsidR="006045E0" w:rsidRPr="00635BA9" w:rsidRDefault="006045E0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関係法令、行政計画等</w:t>
            </w:r>
          </w:p>
        </w:tc>
        <w:tc>
          <w:tcPr>
            <w:tcW w:w="12639" w:type="dxa"/>
            <w:gridSpan w:val="11"/>
            <w:shd w:val="clear" w:color="auto" w:fill="auto"/>
          </w:tcPr>
          <w:p w:rsidR="006045E0" w:rsidRPr="00635BA9" w:rsidRDefault="006045E0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大気汚染防止法：ばい煙（ばいじん、NOx、</w:t>
            </w:r>
            <w:proofErr w:type="spellStart"/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SOx</w:t>
            </w:r>
            <w:proofErr w:type="spellEnd"/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）、一般粉じん、VOC</w:t>
            </w:r>
          </w:p>
          <w:p w:rsidR="006045E0" w:rsidRPr="00635BA9" w:rsidRDefault="006045E0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府生活環境の保全等に関する条例：ばいじん、有害物質、特定・一般粉じん、VOC</w:t>
            </w:r>
          </w:p>
          <w:p w:rsidR="006045E0" w:rsidRPr="00635BA9" w:rsidRDefault="006045E0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第9次大阪地域公害防止計画</w:t>
            </w:r>
          </w:p>
          <w:p w:rsidR="006045E0" w:rsidRPr="00635BA9" w:rsidRDefault="006045E0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大阪府における窒素酸化物の排出抑制に係る推奨ガイドライン（2012年度～）：過去の関係要綱を統合</w:t>
            </w:r>
          </w:p>
          <w:p w:rsidR="006045E0" w:rsidRPr="00635BA9" w:rsidRDefault="006045E0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大阪府化学物質適正管理指針：VOC排出抑制</w:t>
            </w:r>
          </w:p>
        </w:tc>
      </w:tr>
      <w:tr w:rsidR="006045E0" w:rsidRPr="00635BA9" w:rsidTr="006045E0">
        <w:tc>
          <w:tcPr>
            <w:tcW w:w="2104" w:type="dxa"/>
            <w:shd w:val="clear" w:color="auto" w:fill="FFFF00"/>
          </w:tcPr>
          <w:p w:rsidR="006045E0" w:rsidRPr="00635BA9" w:rsidRDefault="006045E0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国等の政策、社会情勢等</w:t>
            </w:r>
          </w:p>
        </w:tc>
        <w:tc>
          <w:tcPr>
            <w:tcW w:w="12639" w:type="dxa"/>
            <w:gridSpan w:val="11"/>
            <w:shd w:val="clear" w:color="auto" w:fill="auto"/>
          </w:tcPr>
          <w:p w:rsidR="00563C43" w:rsidRPr="00563C43" w:rsidRDefault="00563C43" w:rsidP="00563C43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63C4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2012年12月中央環境審議会答申「今後の揮発性有機化合物の排出抑制対策の在り方について」</w:t>
            </w:r>
          </w:p>
          <w:p w:rsidR="00563C43" w:rsidRPr="00563C43" w:rsidRDefault="00563C43" w:rsidP="00563C43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63C4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2015年3月　中央環境審議会専門委員会が「微小粒子状物質の国内における排出抑制制度の在り方について 中間とりまとめ」を公表</w:t>
            </w:r>
          </w:p>
          <w:p w:rsidR="006045E0" w:rsidRPr="00635BA9" w:rsidRDefault="00563C43" w:rsidP="00563C43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63C4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⇒現在、国においてPM2.5の健康影響に関する科学的な解明、生成メカニズムや発生源別の寄与割合の解明、VOCの文献調査、ばいじん等の追加的な排出抑制対策の検討などを継続して実施中</w:t>
            </w:r>
          </w:p>
        </w:tc>
      </w:tr>
      <w:tr w:rsidR="00350B5A" w:rsidRPr="00635BA9" w:rsidTr="006045E0">
        <w:trPr>
          <w:trHeight w:val="70"/>
        </w:trPr>
        <w:tc>
          <w:tcPr>
            <w:tcW w:w="2104" w:type="dxa"/>
            <w:vMerge w:val="restart"/>
            <w:shd w:val="clear" w:color="auto" w:fill="FFFF00"/>
          </w:tcPr>
          <w:p w:rsidR="00350B5A" w:rsidRPr="00635BA9" w:rsidRDefault="00350B5A" w:rsidP="00745EE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（参考）</w:t>
            </w:r>
          </w:p>
          <w:p w:rsidR="00350B5A" w:rsidRPr="00635BA9" w:rsidRDefault="00350B5A" w:rsidP="00745EE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講じた施策に記載した施策事業コスト</w:t>
            </w:r>
          </w:p>
        </w:tc>
        <w:tc>
          <w:tcPr>
            <w:tcW w:w="3549" w:type="dxa"/>
            <w:gridSpan w:val="6"/>
            <w:shd w:val="clear" w:color="auto" w:fill="FFFF00"/>
          </w:tcPr>
          <w:p w:rsidR="00350B5A" w:rsidRPr="00635BA9" w:rsidRDefault="00350B5A" w:rsidP="00FF46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2014年度（決算額）（千円）</w:t>
            </w:r>
          </w:p>
        </w:tc>
        <w:tc>
          <w:tcPr>
            <w:tcW w:w="4338" w:type="dxa"/>
            <w:gridSpan w:val="4"/>
            <w:shd w:val="clear" w:color="auto" w:fill="FFFF00"/>
          </w:tcPr>
          <w:p w:rsidR="00350B5A" w:rsidRPr="00635BA9" w:rsidRDefault="00350B5A" w:rsidP="00FF46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2015年度（決算額）（千円）</w:t>
            </w:r>
          </w:p>
        </w:tc>
        <w:tc>
          <w:tcPr>
            <w:tcW w:w="4752" w:type="dxa"/>
            <w:shd w:val="clear" w:color="auto" w:fill="FFFF00"/>
          </w:tcPr>
          <w:p w:rsidR="00350B5A" w:rsidRPr="00635BA9" w:rsidRDefault="00350B5A" w:rsidP="00FF46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2016年度（決算見込額）（千円）</w:t>
            </w:r>
          </w:p>
        </w:tc>
      </w:tr>
      <w:tr w:rsidR="00350B5A" w:rsidRPr="00635BA9" w:rsidTr="00350B5A">
        <w:trPr>
          <w:trHeight w:val="400"/>
        </w:trPr>
        <w:tc>
          <w:tcPr>
            <w:tcW w:w="2104" w:type="dxa"/>
            <w:vMerge/>
            <w:shd w:val="clear" w:color="auto" w:fill="FFFF00"/>
          </w:tcPr>
          <w:p w:rsidR="00350B5A" w:rsidRPr="00635BA9" w:rsidRDefault="00350B5A" w:rsidP="00745EE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4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5A" w:rsidRPr="00635BA9" w:rsidRDefault="00350B5A" w:rsidP="00745EE5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1,848</w:t>
            </w:r>
          </w:p>
        </w:tc>
        <w:tc>
          <w:tcPr>
            <w:tcW w:w="43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5A" w:rsidRPr="00635BA9" w:rsidRDefault="00350B5A" w:rsidP="00745EE5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1,664</w:t>
            </w:r>
          </w:p>
        </w:tc>
        <w:tc>
          <w:tcPr>
            <w:tcW w:w="47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B5A" w:rsidRPr="00635BA9" w:rsidRDefault="003600DB" w:rsidP="00745EE5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1,795</w:t>
            </w:r>
            <w:bookmarkStart w:id="0" w:name="_GoBack"/>
            <w:bookmarkEnd w:id="0"/>
          </w:p>
        </w:tc>
      </w:tr>
      <w:tr w:rsidR="00350B5A" w:rsidRPr="00635BA9" w:rsidTr="00B357E3">
        <w:trPr>
          <w:trHeight w:val="138"/>
        </w:trPr>
        <w:tc>
          <w:tcPr>
            <w:tcW w:w="2104" w:type="dxa"/>
            <w:vMerge/>
            <w:shd w:val="clear" w:color="auto" w:fill="FFFF00"/>
          </w:tcPr>
          <w:p w:rsidR="00350B5A" w:rsidRPr="00635BA9" w:rsidRDefault="00350B5A" w:rsidP="00745EE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63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350B5A" w:rsidRPr="00350B5A" w:rsidRDefault="00350B5A" w:rsidP="0093629C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0B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※各年度で「講じた施策」への掲載事業が異なることから、新規事業の有無等に関わらず、年度間でコストの増減がある。</w:t>
            </w:r>
          </w:p>
        </w:tc>
      </w:tr>
      <w:tr w:rsidR="00350B5A" w:rsidRPr="00635BA9" w:rsidTr="006045E0">
        <w:trPr>
          <w:trHeight w:val="210"/>
        </w:trPr>
        <w:tc>
          <w:tcPr>
            <w:tcW w:w="2104" w:type="dxa"/>
            <w:vMerge w:val="restart"/>
            <w:shd w:val="clear" w:color="auto" w:fill="FFFF00"/>
          </w:tcPr>
          <w:p w:rsidR="00350B5A" w:rsidRPr="00635BA9" w:rsidRDefault="00350B5A" w:rsidP="00043D7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取組指標及び実績</w:t>
            </w:r>
          </w:p>
          <w:p w:rsidR="00350B5A" w:rsidRPr="00635BA9" w:rsidRDefault="00350B5A" w:rsidP="00043D7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（施策効果の定量評価）</w:t>
            </w:r>
          </w:p>
        </w:tc>
        <w:tc>
          <w:tcPr>
            <w:tcW w:w="732" w:type="dxa"/>
            <w:gridSpan w:val="2"/>
            <w:shd w:val="clear" w:color="auto" w:fill="FFFF00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00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2126" w:type="dxa"/>
            <w:gridSpan w:val="4"/>
            <w:shd w:val="clear" w:color="auto" w:fill="FFFF00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把握方法</w:t>
            </w:r>
          </w:p>
        </w:tc>
        <w:tc>
          <w:tcPr>
            <w:tcW w:w="8221" w:type="dxa"/>
            <w:gridSpan w:val="3"/>
            <w:shd w:val="clear" w:color="auto" w:fill="FFFF00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実績</w:t>
            </w:r>
          </w:p>
        </w:tc>
      </w:tr>
      <w:tr w:rsidR="00350B5A" w:rsidRPr="00635BA9" w:rsidTr="006045E0">
        <w:trPr>
          <w:trHeight w:val="271"/>
        </w:trPr>
        <w:tc>
          <w:tcPr>
            <w:tcW w:w="2104" w:type="dxa"/>
            <w:vMerge/>
            <w:shd w:val="clear" w:color="auto" w:fill="FFFF00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shd w:val="clear" w:color="auto" w:fill="auto"/>
          </w:tcPr>
          <w:p w:rsidR="00350B5A" w:rsidRPr="00635BA9" w:rsidRDefault="00350B5A" w:rsidP="00776FB2">
            <w:pPr>
              <w:pStyle w:val="a8"/>
              <w:numPr>
                <w:ilvl w:val="0"/>
                <w:numId w:val="16"/>
              </w:numPr>
              <w:adjustRightInd w:val="0"/>
              <w:snapToGrid w:val="0"/>
              <w:spacing w:line="280" w:lineRule="exact"/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50B5A" w:rsidRPr="00635BA9" w:rsidRDefault="00350B5A" w:rsidP="000B176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VOC届出排出量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50B5A" w:rsidRPr="00635BA9" w:rsidRDefault="00350B5A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生活環境保全条例に基づく届出排出量をもとにした集計値</w:t>
            </w:r>
          </w:p>
        </w:tc>
        <w:tc>
          <w:tcPr>
            <w:tcW w:w="8221" w:type="dxa"/>
            <w:gridSpan w:val="3"/>
            <w:shd w:val="clear" w:color="auto" w:fill="auto"/>
          </w:tcPr>
          <w:p w:rsidR="00350B5A" w:rsidRPr="00635BA9" w:rsidRDefault="00350B5A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10.2千t/年（2013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</w:t>
            </w: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）、10.5千t/年（14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</w:t>
            </w: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）、9.8千t/年（15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</w:t>
            </w: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:rsidR="00350B5A" w:rsidRPr="00635BA9" w:rsidRDefault="00350B5A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【参考】10.9千t/年（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</w:t>
            </w: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350B5A" w:rsidRPr="00635BA9" w:rsidTr="006045E0">
        <w:trPr>
          <w:trHeight w:val="295"/>
        </w:trPr>
        <w:tc>
          <w:tcPr>
            <w:tcW w:w="2104" w:type="dxa"/>
            <w:vMerge/>
            <w:shd w:val="clear" w:color="auto" w:fill="FFFF00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shd w:val="clear" w:color="auto" w:fill="auto"/>
          </w:tcPr>
          <w:p w:rsidR="00350B5A" w:rsidRPr="00635BA9" w:rsidRDefault="00350B5A" w:rsidP="00776FB2">
            <w:pPr>
              <w:pStyle w:val="a8"/>
              <w:numPr>
                <w:ilvl w:val="0"/>
                <w:numId w:val="16"/>
              </w:numPr>
              <w:adjustRightInd w:val="0"/>
              <w:snapToGrid w:val="0"/>
              <w:spacing w:line="280" w:lineRule="exact"/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50B5A" w:rsidRPr="00563C43" w:rsidRDefault="00350B5A" w:rsidP="00D71C26">
            <w:pPr>
              <w:tabs>
                <w:tab w:val="left" w:pos="1950"/>
              </w:tabs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63C4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大気への化学物質届出排出量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50B5A" w:rsidRPr="00563C43" w:rsidRDefault="00350B5A" w:rsidP="00D71C2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63C4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同上</w:t>
            </w:r>
          </w:p>
        </w:tc>
        <w:tc>
          <w:tcPr>
            <w:tcW w:w="8221" w:type="dxa"/>
            <w:gridSpan w:val="3"/>
            <w:shd w:val="clear" w:color="auto" w:fill="auto"/>
          </w:tcPr>
          <w:p w:rsidR="00350B5A" w:rsidRPr="00563C43" w:rsidRDefault="00350B5A" w:rsidP="00D71C2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63C4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10.6千t（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Pr="00563C4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13年度）、11.0千t（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Pr="00563C4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14年度）、10.2千t（2015年度）</w:t>
            </w:r>
          </w:p>
          <w:p w:rsidR="00350B5A" w:rsidRPr="00563C43" w:rsidRDefault="00350B5A" w:rsidP="00D71C2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63C4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【参考】11.3千t/年（2010年度）</w:t>
            </w:r>
          </w:p>
          <w:p w:rsidR="00350B5A" w:rsidRPr="00563C43" w:rsidRDefault="00350B5A" w:rsidP="00D71C2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</w:tr>
      <w:tr w:rsidR="00350B5A" w:rsidRPr="00635BA9" w:rsidTr="006045E0">
        <w:trPr>
          <w:trHeight w:val="122"/>
        </w:trPr>
        <w:tc>
          <w:tcPr>
            <w:tcW w:w="2104" w:type="dxa"/>
            <w:vMerge/>
            <w:shd w:val="clear" w:color="auto" w:fill="FFFF00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shd w:val="clear" w:color="auto" w:fill="auto"/>
          </w:tcPr>
          <w:p w:rsidR="00350B5A" w:rsidRPr="00635BA9" w:rsidRDefault="00350B5A" w:rsidP="00776FB2">
            <w:pPr>
              <w:pStyle w:val="a8"/>
              <w:numPr>
                <w:ilvl w:val="0"/>
                <w:numId w:val="16"/>
              </w:numPr>
              <w:adjustRightInd w:val="0"/>
              <w:snapToGrid w:val="0"/>
              <w:spacing w:line="280" w:lineRule="exact"/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50B5A" w:rsidRPr="00635BA9" w:rsidRDefault="00350B5A" w:rsidP="00043536">
            <w:pPr>
              <w:tabs>
                <w:tab w:val="left" w:pos="1950"/>
              </w:tabs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環境認証取得率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50B5A" w:rsidRPr="00635BA9" w:rsidRDefault="00350B5A" w:rsidP="0004353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環境省「環境にやさしい企業行動調査」</w:t>
            </w:r>
          </w:p>
          <w:p w:rsidR="00350B5A" w:rsidRPr="00635BA9" w:rsidRDefault="00350B5A" w:rsidP="0004353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（全国データ）</w:t>
            </w:r>
          </w:p>
        </w:tc>
        <w:tc>
          <w:tcPr>
            <w:tcW w:w="8221" w:type="dxa"/>
            <w:gridSpan w:val="3"/>
            <w:shd w:val="clear" w:color="auto" w:fill="auto"/>
          </w:tcPr>
          <w:p w:rsidR="00350B5A" w:rsidRPr="00635BA9" w:rsidRDefault="00350B5A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上場企業：79.3%（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10年度）、80.3%（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11年度）、84.8%（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12年度）、、81.1%（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13年度）、78.8%（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14年度）</w:t>
            </w:r>
          </w:p>
          <w:p w:rsidR="00350B5A" w:rsidRPr="00635BA9" w:rsidRDefault="00350B5A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非上場企業：53.3%（2010年度）、52.2%（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11年度）、53.9%（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12年度）、49.7%（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13年度）、48.3%（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14年度）</w:t>
            </w:r>
          </w:p>
        </w:tc>
      </w:tr>
      <w:tr w:rsidR="00350B5A" w:rsidRPr="00563C43" w:rsidTr="006045E0">
        <w:trPr>
          <w:trHeight w:val="1275"/>
        </w:trPr>
        <w:tc>
          <w:tcPr>
            <w:tcW w:w="2104" w:type="dxa"/>
            <w:vMerge/>
            <w:shd w:val="clear" w:color="auto" w:fill="FFFF00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shd w:val="clear" w:color="auto" w:fill="auto"/>
          </w:tcPr>
          <w:p w:rsidR="00350B5A" w:rsidRPr="00635BA9" w:rsidRDefault="00350B5A" w:rsidP="00776FB2">
            <w:pPr>
              <w:pStyle w:val="a8"/>
              <w:numPr>
                <w:ilvl w:val="0"/>
                <w:numId w:val="16"/>
              </w:numPr>
              <w:adjustRightInd w:val="0"/>
              <w:snapToGrid w:val="0"/>
              <w:spacing w:line="280" w:lineRule="exact"/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50B5A" w:rsidRPr="00635BA9" w:rsidRDefault="00350B5A" w:rsidP="00043536">
            <w:pPr>
              <w:tabs>
                <w:tab w:val="left" w:pos="1950"/>
              </w:tabs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一般大気測定局の環境保全目標達成率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50B5A" w:rsidRPr="00635BA9" w:rsidRDefault="00350B5A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府環境白書データ</w:t>
            </w:r>
          </w:p>
        </w:tc>
        <w:tc>
          <w:tcPr>
            <w:tcW w:w="8221" w:type="dxa"/>
            <w:gridSpan w:val="3"/>
            <w:shd w:val="clear" w:color="auto" w:fill="auto"/>
          </w:tcPr>
          <w:p w:rsidR="00350B5A" w:rsidRPr="00635BA9" w:rsidRDefault="00350B5A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二酸化窒素の環境保全目標（1時間値の一日平均値0.06ppm以下）非達成局の比率：0%（2014～16年度）</w:t>
            </w:r>
          </w:p>
          <w:p w:rsidR="00350B5A" w:rsidRPr="00635BA9" w:rsidRDefault="00350B5A" w:rsidP="00563C43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浮遊粒子状物質の環境保全目標非達成局の比率：0%（2014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～2016</w:t>
            </w: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年度）</w:t>
            </w:r>
          </w:p>
        </w:tc>
      </w:tr>
      <w:tr w:rsidR="00350B5A" w:rsidRPr="00635BA9" w:rsidTr="006045E0">
        <w:trPr>
          <w:trHeight w:val="70"/>
        </w:trPr>
        <w:tc>
          <w:tcPr>
            <w:tcW w:w="2104" w:type="dxa"/>
            <w:vMerge/>
            <w:shd w:val="clear" w:color="auto" w:fill="FFFF00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639" w:type="dxa"/>
            <w:gridSpan w:val="11"/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i/>
                <w:sz w:val="20"/>
                <w:szCs w:val="20"/>
              </w:rPr>
            </w:pPr>
          </w:p>
        </w:tc>
      </w:tr>
      <w:tr w:rsidR="00350B5A" w:rsidRPr="00635BA9" w:rsidTr="006045E0">
        <w:trPr>
          <w:trHeight w:val="240"/>
        </w:trPr>
        <w:tc>
          <w:tcPr>
            <w:tcW w:w="2104" w:type="dxa"/>
            <w:tcBorders>
              <w:bottom w:val="nil"/>
            </w:tcBorders>
            <w:shd w:val="clear" w:color="auto" w:fill="FFFF00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w w:val="90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b/>
                <w:w w:val="90"/>
                <w:sz w:val="20"/>
                <w:szCs w:val="20"/>
              </w:rPr>
              <w:t>工程表の進捗状況</w:t>
            </w:r>
          </w:p>
        </w:tc>
        <w:tc>
          <w:tcPr>
            <w:tcW w:w="2109" w:type="dxa"/>
            <w:gridSpan w:val="3"/>
            <w:shd w:val="clear" w:color="auto" w:fill="FFFF00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工程名</w:t>
            </w:r>
          </w:p>
        </w:tc>
        <w:tc>
          <w:tcPr>
            <w:tcW w:w="1175" w:type="dxa"/>
            <w:gridSpan w:val="2"/>
            <w:shd w:val="clear" w:color="auto" w:fill="FFFF00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進捗状況</w:t>
            </w: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1843" w:type="dxa"/>
            <w:gridSpan w:val="4"/>
            <w:shd w:val="clear" w:color="auto" w:fill="FFFF00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主な事業の名称</w:t>
            </w:r>
          </w:p>
        </w:tc>
        <w:tc>
          <w:tcPr>
            <w:tcW w:w="7512" w:type="dxa"/>
            <w:gridSpan w:val="2"/>
            <w:shd w:val="clear" w:color="auto" w:fill="FFFF00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事業の実施状況</w:t>
            </w:r>
          </w:p>
        </w:tc>
      </w:tr>
      <w:tr w:rsidR="00350B5A" w:rsidRPr="00635BA9" w:rsidTr="006045E0">
        <w:trPr>
          <w:trHeight w:val="262"/>
        </w:trPr>
        <w:tc>
          <w:tcPr>
            <w:tcW w:w="2104" w:type="dxa"/>
            <w:tcBorders>
              <w:top w:val="nil"/>
              <w:bottom w:val="nil"/>
            </w:tcBorders>
            <w:shd w:val="clear" w:color="auto" w:fill="FFFF00"/>
          </w:tcPr>
          <w:p w:rsidR="00350B5A" w:rsidRPr="00635BA9" w:rsidRDefault="00350B5A" w:rsidP="00F9739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</w:tcPr>
          <w:p w:rsidR="00350B5A" w:rsidRPr="00635BA9" w:rsidRDefault="00350B5A" w:rsidP="00F9739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NOx等ばい煙対策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350B5A" w:rsidRPr="00635BA9" w:rsidRDefault="00350B5A" w:rsidP="00F9739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350B5A" w:rsidRPr="00635BA9" w:rsidRDefault="00350B5A" w:rsidP="00F9739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:rsidR="00350B5A" w:rsidRPr="00635BA9" w:rsidRDefault="00350B5A" w:rsidP="00F9739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50B5A" w:rsidRPr="00635BA9" w:rsidTr="006045E0">
        <w:trPr>
          <w:trHeight w:val="70"/>
        </w:trPr>
        <w:tc>
          <w:tcPr>
            <w:tcW w:w="2104" w:type="dxa"/>
            <w:tcBorders>
              <w:top w:val="nil"/>
              <w:bottom w:val="nil"/>
            </w:tcBorders>
            <w:shd w:val="clear" w:color="auto" w:fill="FFFF00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74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排出事業者に対する排出抑制指導・規制</w:t>
            </w:r>
          </w:p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（新たな知見に基づく項目・規制値の見直しを含む）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大気汚染防止規制指導事業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350B5A" w:rsidRPr="00635BA9" w:rsidRDefault="00350B5A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届出指導・審査、立入検査による改善指導等</w:t>
            </w:r>
          </w:p>
          <w:p w:rsidR="00350B5A" w:rsidRPr="00635BA9" w:rsidRDefault="00350B5A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立入検査のべ件数</w:t>
            </w:r>
          </w:p>
          <w:p w:rsidR="00350B5A" w:rsidRPr="00635BA9" w:rsidRDefault="00350B5A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964（2014年度）、961（2015年度）、815（2016年度）</w:t>
            </w:r>
          </w:p>
          <w:p w:rsidR="00350B5A" w:rsidRPr="00635BA9" w:rsidRDefault="00350B5A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50B5A" w:rsidRPr="00635BA9" w:rsidTr="006045E0">
        <w:trPr>
          <w:trHeight w:val="540"/>
        </w:trPr>
        <w:tc>
          <w:tcPr>
            <w:tcW w:w="2104" w:type="dxa"/>
            <w:vMerge w:val="restart"/>
            <w:tcBorders>
              <w:top w:val="nil"/>
            </w:tcBorders>
            <w:shd w:val="clear" w:color="auto" w:fill="FFFF00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335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74" w:type="dxa"/>
            <w:gridSpan w:val="2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350B5A" w:rsidRPr="00635BA9" w:rsidRDefault="00350B5A" w:rsidP="00610B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事業者による自主的な負荷削減への取組みの促進</w:t>
            </w:r>
          </w:p>
        </w:tc>
        <w:tc>
          <w:tcPr>
            <w:tcW w:w="1175" w:type="dxa"/>
            <w:gridSpan w:val="2"/>
            <w:vMerge w:val="restart"/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化学物質対策推進事業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350B5A" w:rsidRPr="00635BA9" w:rsidRDefault="00350B5A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事業者に対する化学物質の排出削減の指導助言</w:t>
            </w:r>
          </w:p>
          <w:p w:rsidR="00350B5A" w:rsidRPr="00635BA9" w:rsidRDefault="00350B5A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（施策No.26参照）</w:t>
            </w:r>
          </w:p>
        </w:tc>
      </w:tr>
      <w:tr w:rsidR="00350B5A" w:rsidRPr="00635BA9" w:rsidTr="006045E0">
        <w:trPr>
          <w:trHeight w:val="570"/>
        </w:trPr>
        <w:tc>
          <w:tcPr>
            <w:tcW w:w="2104" w:type="dxa"/>
            <w:vMerge/>
            <w:tcBorders>
              <w:bottom w:val="nil"/>
            </w:tcBorders>
            <w:shd w:val="clear" w:color="auto" w:fill="FFFF00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74" w:type="dxa"/>
            <w:gridSpan w:val="2"/>
            <w:vMerge/>
            <w:tcBorders>
              <w:left w:val="dashed" w:sz="4" w:space="0" w:color="auto"/>
            </w:tcBorders>
            <w:shd w:val="clear" w:color="auto" w:fill="auto"/>
          </w:tcPr>
          <w:p w:rsidR="00350B5A" w:rsidRPr="00635BA9" w:rsidRDefault="00350B5A" w:rsidP="00610B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vMerge/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EMS構築に関する情報提供等の支援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350B5A" w:rsidRPr="00635BA9" w:rsidRDefault="00350B5A" w:rsidP="000A4C9E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大阪府EMSポータルサイトによる情報提供、セミナー等の広報</w:t>
            </w:r>
          </w:p>
          <w:p w:rsidR="00350B5A" w:rsidRPr="00635BA9" w:rsidRDefault="00350B5A" w:rsidP="00D729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50B5A" w:rsidRPr="00635BA9" w:rsidTr="006045E0">
        <w:trPr>
          <w:trHeight w:val="170"/>
        </w:trPr>
        <w:tc>
          <w:tcPr>
            <w:tcW w:w="2104" w:type="dxa"/>
            <w:tcBorders>
              <w:top w:val="nil"/>
              <w:bottom w:val="nil"/>
            </w:tcBorders>
            <w:shd w:val="clear" w:color="auto" w:fill="FFFF00"/>
          </w:tcPr>
          <w:p w:rsidR="00350B5A" w:rsidRPr="00635BA9" w:rsidRDefault="00350B5A" w:rsidP="00F9739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</w:tcPr>
          <w:p w:rsidR="00350B5A" w:rsidRPr="00635BA9" w:rsidRDefault="00350B5A" w:rsidP="00B1709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ＶＯＣ対策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350B5A" w:rsidRPr="00635BA9" w:rsidRDefault="00350B5A" w:rsidP="00F9739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350B5A" w:rsidRPr="00635BA9" w:rsidRDefault="00350B5A" w:rsidP="00F9739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:rsidR="00350B5A" w:rsidRPr="00635BA9" w:rsidRDefault="00350B5A" w:rsidP="00F9739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50B5A" w:rsidRPr="00635BA9" w:rsidTr="006045E0">
        <w:trPr>
          <w:trHeight w:val="210"/>
        </w:trPr>
        <w:tc>
          <w:tcPr>
            <w:tcW w:w="2104" w:type="dxa"/>
            <w:tcBorders>
              <w:top w:val="nil"/>
              <w:bottom w:val="nil"/>
            </w:tcBorders>
            <w:shd w:val="clear" w:color="auto" w:fill="FFFF00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74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350B5A" w:rsidRPr="00635BA9" w:rsidRDefault="00350B5A" w:rsidP="00610B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大規模排出事業所に対する排出基準の遵守指導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350B5A" w:rsidRPr="00635BA9" w:rsidRDefault="00350B5A" w:rsidP="009B734C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大気汚染防止規制指導事業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350B5A" w:rsidRPr="00635BA9" w:rsidRDefault="00350B5A" w:rsidP="009B734C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届出指導・審査、立入検査による改善指導等</w:t>
            </w:r>
          </w:p>
        </w:tc>
      </w:tr>
      <w:tr w:rsidR="00350B5A" w:rsidRPr="00635BA9" w:rsidTr="006045E0">
        <w:trPr>
          <w:trHeight w:val="270"/>
        </w:trPr>
        <w:tc>
          <w:tcPr>
            <w:tcW w:w="2104" w:type="dxa"/>
            <w:tcBorders>
              <w:top w:val="nil"/>
              <w:bottom w:val="nil"/>
            </w:tcBorders>
            <w:shd w:val="clear" w:color="auto" w:fill="FFFF00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74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光化学スモッグ発生時における排出削減要請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光化学スモッグ対策事業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350B5A" w:rsidRPr="00635BA9" w:rsidRDefault="00350B5A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緊急時対象工場へのNOx削減要請</w:t>
            </w:r>
          </w:p>
          <w:p w:rsidR="00350B5A" w:rsidRPr="00635BA9" w:rsidRDefault="00350B5A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のべ９４５回（201６年度）</w:t>
            </w:r>
          </w:p>
        </w:tc>
      </w:tr>
      <w:tr w:rsidR="00350B5A" w:rsidRPr="00635BA9" w:rsidTr="006045E0">
        <w:trPr>
          <w:trHeight w:val="555"/>
        </w:trPr>
        <w:tc>
          <w:tcPr>
            <w:tcW w:w="2104" w:type="dxa"/>
            <w:vMerge w:val="restart"/>
            <w:tcBorders>
              <w:top w:val="nil"/>
            </w:tcBorders>
            <w:shd w:val="clear" w:color="auto" w:fill="FFFF00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335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74" w:type="dxa"/>
            <w:gridSpan w:val="2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化学物質管理制度を活用した事業者による自主的取組の促進</w:t>
            </w:r>
          </w:p>
        </w:tc>
        <w:tc>
          <w:tcPr>
            <w:tcW w:w="1175" w:type="dxa"/>
            <w:gridSpan w:val="2"/>
            <w:vMerge w:val="restart"/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350B5A" w:rsidRPr="00635BA9" w:rsidRDefault="00350B5A" w:rsidP="009B734C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化学物質対策推進事業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350B5A" w:rsidRDefault="00350B5A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事業者に対する化学物質の排出削減の指導助言</w:t>
            </w:r>
          </w:p>
          <w:p w:rsidR="001E0C47" w:rsidRPr="001E0C47" w:rsidRDefault="001E0C47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E0C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（施策No.26参照）</w:t>
            </w:r>
          </w:p>
        </w:tc>
      </w:tr>
      <w:tr w:rsidR="00350B5A" w:rsidRPr="00635BA9" w:rsidTr="006045E0">
        <w:trPr>
          <w:trHeight w:val="270"/>
        </w:trPr>
        <w:tc>
          <w:tcPr>
            <w:tcW w:w="2104" w:type="dxa"/>
            <w:vMerge/>
            <w:tcBorders>
              <w:bottom w:val="nil"/>
            </w:tcBorders>
            <w:shd w:val="clear" w:color="auto" w:fill="FFFF00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74" w:type="dxa"/>
            <w:gridSpan w:val="2"/>
            <w:vMerge/>
            <w:tcBorders>
              <w:left w:val="dashed" w:sz="4" w:space="0" w:color="auto"/>
            </w:tcBorders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vMerge/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350B5A" w:rsidRPr="00635BA9" w:rsidRDefault="00350B5A" w:rsidP="009B734C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EMS構築支援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350B5A" w:rsidRPr="00635BA9" w:rsidRDefault="00350B5A" w:rsidP="009B734C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（再掲）</w:t>
            </w:r>
          </w:p>
        </w:tc>
      </w:tr>
      <w:tr w:rsidR="00350B5A" w:rsidRPr="00635BA9" w:rsidTr="006045E0">
        <w:trPr>
          <w:trHeight w:val="70"/>
        </w:trPr>
        <w:tc>
          <w:tcPr>
            <w:tcW w:w="2104" w:type="dxa"/>
            <w:tcBorders>
              <w:top w:val="nil"/>
            </w:tcBorders>
            <w:shd w:val="clear" w:color="auto" w:fill="FFFF00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639" w:type="dxa"/>
            <w:gridSpan w:val="11"/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※進捗状況：☆☆☆計画以上の進捗／☆☆計画どおり／☆計画以下の進捗／△計画とは異なる事業内容で進捗</w:t>
            </w:r>
          </w:p>
        </w:tc>
      </w:tr>
      <w:tr w:rsidR="00350B5A" w:rsidRPr="00635BA9" w:rsidTr="006045E0">
        <w:trPr>
          <w:trHeight w:val="70"/>
        </w:trPr>
        <w:tc>
          <w:tcPr>
            <w:tcW w:w="2104" w:type="dxa"/>
            <w:vMerge w:val="restart"/>
            <w:shd w:val="clear" w:color="auto" w:fill="FFFF00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評価</w:t>
            </w:r>
          </w:p>
        </w:tc>
        <w:tc>
          <w:tcPr>
            <w:tcW w:w="2109" w:type="dxa"/>
            <w:gridSpan w:val="3"/>
            <w:shd w:val="clear" w:color="auto" w:fill="FFFF00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67" w:type="dxa"/>
            <w:gridSpan w:val="4"/>
            <w:shd w:val="clear" w:color="auto" w:fill="FFFF00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</w:t>
            </w:r>
          </w:p>
        </w:tc>
        <w:tc>
          <w:tcPr>
            <w:tcW w:w="8363" w:type="dxa"/>
            <w:gridSpan w:val="4"/>
            <w:shd w:val="clear" w:color="auto" w:fill="FFFF00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理由等</w:t>
            </w:r>
          </w:p>
        </w:tc>
      </w:tr>
      <w:tr w:rsidR="00350B5A" w:rsidRPr="00635BA9" w:rsidTr="006045E0">
        <w:trPr>
          <w:trHeight w:val="195"/>
        </w:trPr>
        <w:tc>
          <w:tcPr>
            <w:tcW w:w="2104" w:type="dxa"/>
            <w:vMerge/>
            <w:shd w:val="clear" w:color="auto" w:fill="FFFF00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FFFF00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施策目的の達成状況</w:t>
            </w:r>
          </w:p>
        </w:tc>
        <w:tc>
          <w:tcPr>
            <w:tcW w:w="2167" w:type="dxa"/>
            <w:gridSpan w:val="4"/>
            <w:shd w:val="clear" w:color="auto" w:fill="auto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順調に推移している</w:t>
            </w:r>
          </w:p>
        </w:tc>
        <w:tc>
          <w:tcPr>
            <w:tcW w:w="8363" w:type="dxa"/>
            <w:gridSpan w:val="4"/>
            <w:shd w:val="clear" w:color="auto" w:fill="auto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50B5A" w:rsidRPr="00635BA9" w:rsidTr="006045E0">
        <w:trPr>
          <w:trHeight w:val="180"/>
        </w:trPr>
        <w:tc>
          <w:tcPr>
            <w:tcW w:w="2104" w:type="dxa"/>
            <w:vMerge/>
            <w:shd w:val="clear" w:color="auto" w:fill="FFFF00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FFFF00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事業・工程の進捗状況</w:t>
            </w:r>
          </w:p>
        </w:tc>
        <w:tc>
          <w:tcPr>
            <w:tcW w:w="2167" w:type="dxa"/>
            <w:gridSpan w:val="4"/>
            <w:shd w:val="clear" w:color="auto" w:fill="auto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計画どおり進捗</w:t>
            </w:r>
          </w:p>
        </w:tc>
        <w:tc>
          <w:tcPr>
            <w:tcW w:w="8363" w:type="dxa"/>
            <w:gridSpan w:val="4"/>
            <w:shd w:val="clear" w:color="auto" w:fill="auto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50B5A" w:rsidRPr="00635BA9" w:rsidTr="006045E0">
        <w:trPr>
          <w:trHeight w:val="195"/>
        </w:trPr>
        <w:tc>
          <w:tcPr>
            <w:tcW w:w="2104" w:type="dxa"/>
            <w:vMerge w:val="restart"/>
            <w:shd w:val="clear" w:color="auto" w:fill="FFFF00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計画見直し又は改善事項</w:t>
            </w:r>
          </w:p>
        </w:tc>
        <w:tc>
          <w:tcPr>
            <w:tcW w:w="2109" w:type="dxa"/>
            <w:gridSpan w:val="3"/>
            <w:shd w:val="clear" w:color="auto" w:fill="FFFF00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67" w:type="dxa"/>
            <w:gridSpan w:val="4"/>
            <w:shd w:val="clear" w:color="auto" w:fill="FFFF00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見直し・改善点の有無</w:t>
            </w:r>
          </w:p>
        </w:tc>
        <w:tc>
          <w:tcPr>
            <w:tcW w:w="8363" w:type="dxa"/>
            <w:gridSpan w:val="4"/>
            <w:shd w:val="clear" w:color="auto" w:fill="FFFF00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見直し・改善点の内容等</w:t>
            </w:r>
          </w:p>
        </w:tc>
      </w:tr>
      <w:tr w:rsidR="00350B5A" w:rsidRPr="00635BA9" w:rsidTr="006045E0">
        <w:trPr>
          <w:trHeight w:val="120"/>
        </w:trPr>
        <w:tc>
          <w:tcPr>
            <w:tcW w:w="2104" w:type="dxa"/>
            <w:vMerge/>
            <w:shd w:val="clear" w:color="auto" w:fill="FFFF00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FFFF00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目標</w:t>
            </w:r>
          </w:p>
        </w:tc>
        <w:tc>
          <w:tcPr>
            <w:tcW w:w="2167" w:type="dxa"/>
            <w:gridSpan w:val="4"/>
            <w:shd w:val="clear" w:color="auto" w:fill="auto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8363" w:type="dxa"/>
            <w:gridSpan w:val="4"/>
            <w:shd w:val="clear" w:color="auto" w:fill="auto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50B5A" w:rsidRPr="00635BA9" w:rsidTr="006045E0">
        <w:trPr>
          <w:trHeight w:val="135"/>
        </w:trPr>
        <w:tc>
          <w:tcPr>
            <w:tcW w:w="2104" w:type="dxa"/>
            <w:vMerge/>
            <w:shd w:val="clear" w:color="auto" w:fill="FFFF00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FFFF00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施策の方向・主な施策</w:t>
            </w:r>
          </w:p>
        </w:tc>
        <w:tc>
          <w:tcPr>
            <w:tcW w:w="2167" w:type="dxa"/>
            <w:gridSpan w:val="4"/>
            <w:shd w:val="clear" w:color="auto" w:fill="auto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8363" w:type="dxa"/>
            <w:gridSpan w:val="4"/>
            <w:shd w:val="clear" w:color="auto" w:fill="auto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50B5A" w:rsidRPr="00635BA9" w:rsidTr="006045E0">
        <w:trPr>
          <w:trHeight w:val="165"/>
        </w:trPr>
        <w:tc>
          <w:tcPr>
            <w:tcW w:w="2104" w:type="dxa"/>
            <w:vMerge/>
            <w:shd w:val="clear" w:color="auto" w:fill="FFFF00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FFFF00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工程表</w:t>
            </w:r>
          </w:p>
        </w:tc>
        <w:tc>
          <w:tcPr>
            <w:tcW w:w="2167" w:type="dxa"/>
            <w:gridSpan w:val="4"/>
            <w:shd w:val="clear" w:color="auto" w:fill="auto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8363" w:type="dxa"/>
            <w:gridSpan w:val="4"/>
            <w:shd w:val="clear" w:color="auto" w:fill="auto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50B5A" w:rsidRPr="00635BA9" w:rsidTr="006045E0">
        <w:trPr>
          <w:trHeight w:val="105"/>
        </w:trPr>
        <w:tc>
          <w:tcPr>
            <w:tcW w:w="2104" w:type="dxa"/>
            <w:vMerge/>
            <w:shd w:val="clear" w:color="auto" w:fill="FFFF00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FFFF00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その他の改善事項</w:t>
            </w:r>
          </w:p>
        </w:tc>
        <w:tc>
          <w:tcPr>
            <w:tcW w:w="2167" w:type="dxa"/>
            <w:gridSpan w:val="4"/>
            <w:shd w:val="clear" w:color="auto" w:fill="auto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8363" w:type="dxa"/>
            <w:gridSpan w:val="4"/>
            <w:shd w:val="clear" w:color="auto" w:fill="auto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50B5A" w:rsidRPr="00635BA9" w:rsidTr="006045E0">
        <w:tc>
          <w:tcPr>
            <w:tcW w:w="2104" w:type="dxa"/>
            <w:shd w:val="clear" w:color="auto" w:fill="FFFF00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関係課室</w:t>
            </w:r>
          </w:p>
        </w:tc>
        <w:tc>
          <w:tcPr>
            <w:tcW w:w="12639" w:type="dxa"/>
            <w:gridSpan w:val="11"/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環境管理室、エネルギー政策課</w:t>
            </w:r>
          </w:p>
        </w:tc>
      </w:tr>
    </w:tbl>
    <w:p w:rsidR="00F248FA" w:rsidRPr="00635BA9" w:rsidRDefault="00B277E6" w:rsidP="00F248FA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635BA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F248FA" w:rsidRPr="00635BA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tbl>
      <w:tblPr>
        <w:tblW w:w="14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4425"/>
        <w:gridCol w:w="4285"/>
        <w:gridCol w:w="4581"/>
      </w:tblGrid>
      <w:tr w:rsidR="00635BA9" w:rsidRPr="00635BA9" w:rsidTr="004F3BF7">
        <w:trPr>
          <w:trHeight w:val="113"/>
        </w:trPr>
        <w:tc>
          <w:tcPr>
            <w:tcW w:w="1496" w:type="dxa"/>
            <w:vMerge w:val="restart"/>
            <w:shd w:val="clear" w:color="auto" w:fill="FFFF00"/>
          </w:tcPr>
          <w:p w:rsidR="00F248FA" w:rsidRPr="00635BA9" w:rsidRDefault="00F248FA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環境総合計画部会委員による点検（所見）</w:t>
            </w:r>
          </w:p>
        </w:tc>
        <w:tc>
          <w:tcPr>
            <w:tcW w:w="4425" w:type="dxa"/>
            <w:shd w:val="clear" w:color="auto" w:fill="FFFF00"/>
          </w:tcPr>
          <w:p w:rsidR="00F248FA" w:rsidRPr="00635BA9" w:rsidRDefault="00F248FA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点検評価手法の適正さについて</w:t>
            </w:r>
          </w:p>
        </w:tc>
        <w:tc>
          <w:tcPr>
            <w:tcW w:w="4285" w:type="dxa"/>
            <w:shd w:val="clear" w:color="auto" w:fill="FFFF00"/>
          </w:tcPr>
          <w:p w:rsidR="00F248FA" w:rsidRPr="00635BA9" w:rsidRDefault="00F248FA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評価結果について</w:t>
            </w:r>
          </w:p>
        </w:tc>
        <w:tc>
          <w:tcPr>
            <w:tcW w:w="4581" w:type="dxa"/>
            <w:shd w:val="clear" w:color="auto" w:fill="FFFF00"/>
          </w:tcPr>
          <w:p w:rsidR="00F248FA" w:rsidRPr="00635BA9" w:rsidRDefault="00F248FA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計画の見直し又は改善方針について</w:t>
            </w:r>
          </w:p>
        </w:tc>
      </w:tr>
      <w:tr w:rsidR="00635BA9" w:rsidRPr="00635BA9" w:rsidTr="004F3BF7">
        <w:trPr>
          <w:trHeight w:val="750"/>
        </w:trPr>
        <w:tc>
          <w:tcPr>
            <w:tcW w:w="1496" w:type="dxa"/>
            <w:vMerge/>
            <w:shd w:val="clear" w:color="auto" w:fill="FFFF00"/>
          </w:tcPr>
          <w:p w:rsidR="00087691" w:rsidRPr="00635BA9" w:rsidRDefault="00087691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</w:tcPr>
          <w:p w:rsidR="006E78D6" w:rsidRDefault="00807F82" w:rsidP="000C3CF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点検評価の手続きについては、概ね妥当である。</w:t>
            </w:r>
          </w:p>
          <w:p w:rsidR="00807F82" w:rsidRPr="00635BA9" w:rsidRDefault="00807F82" w:rsidP="000C3CF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全国の環境認証取得率が減少傾向にある。大阪府においても同様な傾向か検討することが望ましい。</w:t>
            </w:r>
          </w:p>
        </w:tc>
        <w:tc>
          <w:tcPr>
            <w:tcW w:w="4285" w:type="dxa"/>
            <w:shd w:val="clear" w:color="auto" w:fill="auto"/>
          </w:tcPr>
          <w:p w:rsidR="00087691" w:rsidRPr="00635BA9" w:rsidRDefault="00807F82" w:rsidP="000C3CF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評価結果については、概ね妥当である。</w:t>
            </w:r>
          </w:p>
        </w:tc>
        <w:tc>
          <w:tcPr>
            <w:tcW w:w="4581" w:type="dxa"/>
            <w:shd w:val="clear" w:color="auto" w:fill="auto"/>
          </w:tcPr>
          <w:p w:rsidR="00087691" w:rsidRPr="00635BA9" w:rsidRDefault="00807F82" w:rsidP="000C3CF2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7F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計画の見直し又は改善方針について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は、概ね妥当である。</w:t>
            </w:r>
          </w:p>
        </w:tc>
      </w:tr>
    </w:tbl>
    <w:p w:rsidR="00CE3DF7" w:rsidRPr="00635BA9" w:rsidRDefault="00CE3DF7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CE3DF7" w:rsidRPr="00635BA9" w:rsidSect="00D4719D">
      <w:footerReference w:type="default" r:id="rId11"/>
      <w:pgSz w:w="16839" w:h="23814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FFD" w:rsidRDefault="008F4FFD" w:rsidP="00DF093F">
      <w:r>
        <w:separator/>
      </w:r>
    </w:p>
  </w:endnote>
  <w:endnote w:type="continuationSeparator" w:id="0">
    <w:p w:rsidR="008F4FFD" w:rsidRDefault="008F4FFD" w:rsidP="00DF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724517"/>
      <w:docPartObj>
        <w:docPartGallery w:val="Page Numbers (Bottom of Page)"/>
        <w:docPartUnique/>
      </w:docPartObj>
    </w:sdtPr>
    <w:sdtEndPr/>
    <w:sdtContent>
      <w:p w:rsidR="0089682E" w:rsidRDefault="001E45FB">
        <w:pPr>
          <w:pStyle w:val="a6"/>
          <w:jc w:val="center"/>
        </w:pPr>
        <w:r>
          <w:fldChar w:fldCharType="begin"/>
        </w:r>
        <w:r w:rsidR="0089682E">
          <w:instrText>PAGE   \* MERGEFORMAT</w:instrText>
        </w:r>
        <w:r>
          <w:fldChar w:fldCharType="separate"/>
        </w:r>
        <w:r w:rsidR="003600DB" w:rsidRPr="003600DB">
          <w:rPr>
            <w:noProof/>
            <w:lang w:val="ja-JP"/>
          </w:rPr>
          <w:t>1</w:t>
        </w:r>
        <w:r>
          <w:fldChar w:fldCharType="end"/>
        </w:r>
      </w:p>
    </w:sdtContent>
  </w:sdt>
  <w:p w:rsidR="0089682E" w:rsidRDefault="008968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FFD" w:rsidRDefault="008F4FFD" w:rsidP="00DF093F">
      <w:r>
        <w:separator/>
      </w:r>
    </w:p>
  </w:footnote>
  <w:footnote w:type="continuationSeparator" w:id="0">
    <w:p w:rsidR="008F4FFD" w:rsidRDefault="008F4FFD" w:rsidP="00DF0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5EC6"/>
    <w:multiLevelType w:val="hybridMultilevel"/>
    <w:tmpl w:val="1DE8CD52"/>
    <w:lvl w:ilvl="0" w:tplc="25BAA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922D65"/>
    <w:multiLevelType w:val="multilevel"/>
    <w:tmpl w:val="5EC2BF7C"/>
    <w:lvl w:ilvl="0">
      <w:start w:val="1"/>
      <w:numFmt w:val="decimal"/>
      <w:lvlText w:val="%1-"/>
      <w:lvlJc w:val="left"/>
      <w:pPr>
        <w:ind w:left="480" w:hanging="480"/>
      </w:pPr>
      <w:rPr>
        <w:rFonts w:ascii="HG丸ｺﾞｼｯｸM-PRO" w:eastAsia="HG丸ｺﾞｼｯｸM-PRO" w:hAnsi="HG丸ｺﾞｼｯｸM-PRO" w:hint="default"/>
        <w:sz w:val="20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0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0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ascii="HG丸ｺﾞｼｯｸM-PRO" w:eastAsia="HG丸ｺﾞｼｯｸM-PRO" w:hAnsi="HG丸ｺﾞｼｯｸM-PRO" w:hint="default"/>
        <w:sz w:val="20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ascii="HG丸ｺﾞｼｯｸM-PRO" w:eastAsia="HG丸ｺﾞｼｯｸM-PRO" w:hAnsi="HG丸ｺﾞｼｯｸM-PRO" w:hint="default"/>
        <w:sz w:val="20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ascii="HG丸ｺﾞｼｯｸM-PRO" w:eastAsia="HG丸ｺﾞｼｯｸM-PRO" w:hAnsi="HG丸ｺﾞｼｯｸM-PRO" w:hint="default"/>
        <w:sz w:val="20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ascii="HG丸ｺﾞｼｯｸM-PRO" w:eastAsia="HG丸ｺﾞｼｯｸM-PRO" w:hAnsi="HG丸ｺﾞｼｯｸM-PRO" w:hint="default"/>
        <w:sz w:val="20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ascii="HG丸ｺﾞｼｯｸM-PRO" w:eastAsia="HG丸ｺﾞｼｯｸM-PRO" w:hAnsi="HG丸ｺﾞｼｯｸM-PRO" w:hint="default"/>
        <w:sz w:val="20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ascii="HG丸ｺﾞｼｯｸM-PRO" w:eastAsia="HG丸ｺﾞｼｯｸM-PRO" w:hAnsi="HG丸ｺﾞｼｯｸM-PRO" w:hint="default"/>
        <w:sz w:val="20"/>
      </w:rPr>
    </w:lvl>
  </w:abstractNum>
  <w:abstractNum w:abstractNumId="2">
    <w:nsid w:val="0E767A36"/>
    <w:multiLevelType w:val="hybridMultilevel"/>
    <w:tmpl w:val="B31E2552"/>
    <w:lvl w:ilvl="0" w:tplc="1444D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1162B6A"/>
    <w:multiLevelType w:val="hybridMultilevel"/>
    <w:tmpl w:val="D6702884"/>
    <w:lvl w:ilvl="0" w:tplc="B76E86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3304708"/>
    <w:multiLevelType w:val="hybridMultilevel"/>
    <w:tmpl w:val="21F87FB2"/>
    <w:lvl w:ilvl="0" w:tplc="F2380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8AE7D00"/>
    <w:multiLevelType w:val="hybridMultilevel"/>
    <w:tmpl w:val="0CD22C36"/>
    <w:lvl w:ilvl="0" w:tplc="C1F694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A4F6E8F"/>
    <w:multiLevelType w:val="hybridMultilevel"/>
    <w:tmpl w:val="46F46EB8"/>
    <w:lvl w:ilvl="0" w:tplc="650A87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2821B97"/>
    <w:multiLevelType w:val="hybridMultilevel"/>
    <w:tmpl w:val="9D72ABDA"/>
    <w:lvl w:ilvl="0" w:tplc="213C5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6393E24"/>
    <w:multiLevelType w:val="hybridMultilevel"/>
    <w:tmpl w:val="E11EF2F6"/>
    <w:lvl w:ilvl="0" w:tplc="71FE9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9335EE5"/>
    <w:multiLevelType w:val="hybridMultilevel"/>
    <w:tmpl w:val="38A8EF8E"/>
    <w:lvl w:ilvl="0" w:tplc="3DCAF2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E7D4A3A"/>
    <w:multiLevelType w:val="hybridMultilevel"/>
    <w:tmpl w:val="D07EF4A8"/>
    <w:lvl w:ilvl="0" w:tplc="FBF47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768689E"/>
    <w:multiLevelType w:val="hybridMultilevel"/>
    <w:tmpl w:val="B8A05A9A"/>
    <w:lvl w:ilvl="0" w:tplc="F8A21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E536C32"/>
    <w:multiLevelType w:val="hybridMultilevel"/>
    <w:tmpl w:val="A3C2DD50"/>
    <w:lvl w:ilvl="0" w:tplc="756C2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2FC2F1B"/>
    <w:multiLevelType w:val="hybridMultilevel"/>
    <w:tmpl w:val="93F82762"/>
    <w:lvl w:ilvl="0" w:tplc="5DF8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DC6165D"/>
    <w:multiLevelType w:val="hybridMultilevel"/>
    <w:tmpl w:val="AA12F15A"/>
    <w:lvl w:ilvl="0" w:tplc="354AE87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21D02B0"/>
    <w:multiLevelType w:val="hybridMultilevel"/>
    <w:tmpl w:val="48E86A12"/>
    <w:lvl w:ilvl="0" w:tplc="6C0CA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0"/>
  </w:num>
  <w:num w:numId="5">
    <w:abstractNumId w:val="14"/>
  </w:num>
  <w:num w:numId="6">
    <w:abstractNumId w:val="3"/>
  </w:num>
  <w:num w:numId="7">
    <w:abstractNumId w:val="12"/>
  </w:num>
  <w:num w:numId="8">
    <w:abstractNumId w:val="9"/>
  </w:num>
  <w:num w:numId="9">
    <w:abstractNumId w:val="15"/>
  </w:num>
  <w:num w:numId="10">
    <w:abstractNumId w:val="13"/>
  </w:num>
  <w:num w:numId="11">
    <w:abstractNumId w:val="11"/>
  </w:num>
  <w:num w:numId="12">
    <w:abstractNumId w:val="4"/>
  </w:num>
  <w:num w:numId="13">
    <w:abstractNumId w:val="7"/>
  </w:num>
  <w:num w:numId="14">
    <w:abstractNumId w:val="6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C8"/>
    <w:rsid w:val="000344CB"/>
    <w:rsid w:val="00036D73"/>
    <w:rsid w:val="0007537D"/>
    <w:rsid w:val="00087691"/>
    <w:rsid w:val="00091444"/>
    <w:rsid w:val="000A4C9E"/>
    <w:rsid w:val="000E2AC8"/>
    <w:rsid w:val="00112522"/>
    <w:rsid w:val="00120FCD"/>
    <w:rsid w:val="001666F0"/>
    <w:rsid w:val="00192B62"/>
    <w:rsid w:val="001A21A7"/>
    <w:rsid w:val="001D321C"/>
    <w:rsid w:val="001E0C47"/>
    <w:rsid w:val="001E45FB"/>
    <w:rsid w:val="00216BAB"/>
    <w:rsid w:val="00232544"/>
    <w:rsid w:val="002326FC"/>
    <w:rsid w:val="0024137F"/>
    <w:rsid w:val="0024769F"/>
    <w:rsid w:val="00250982"/>
    <w:rsid w:val="00261A14"/>
    <w:rsid w:val="00272E81"/>
    <w:rsid w:val="00286AA6"/>
    <w:rsid w:val="002A0D87"/>
    <w:rsid w:val="002A114F"/>
    <w:rsid w:val="002F10E6"/>
    <w:rsid w:val="002F4EE8"/>
    <w:rsid w:val="00322A9D"/>
    <w:rsid w:val="00322CF5"/>
    <w:rsid w:val="003259A1"/>
    <w:rsid w:val="00335DFB"/>
    <w:rsid w:val="00336377"/>
    <w:rsid w:val="00350B5A"/>
    <w:rsid w:val="003600DB"/>
    <w:rsid w:val="003643C4"/>
    <w:rsid w:val="003732DC"/>
    <w:rsid w:val="00392F77"/>
    <w:rsid w:val="003B2E30"/>
    <w:rsid w:val="003E536B"/>
    <w:rsid w:val="004208A0"/>
    <w:rsid w:val="0047300B"/>
    <w:rsid w:val="004A6C02"/>
    <w:rsid w:val="004B6B14"/>
    <w:rsid w:val="004E6196"/>
    <w:rsid w:val="00516BA1"/>
    <w:rsid w:val="00540E2B"/>
    <w:rsid w:val="00541616"/>
    <w:rsid w:val="00542402"/>
    <w:rsid w:val="005562A9"/>
    <w:rsid w:val="005579A0"/>
    <w:rsid w:val="00562A1D"/>
    <w:rsid w:val="00563823"/>
    <w:rsid w:val="005639DA"/>
    <w:rsid w:val="00563C43"/>
    <w:rsid w:val="0058438D"/>
    <w:rsid w:val="005873CC"/>
    <w:rsid w:val="00592078"/>
    <w:rsid w:val="00593238"/>
    <w:rsid w:val="006045E0"/>
    <w:rsid w:val="00610BAB"/>
    <w:rsid w:val="006305BE"/>
    <w:rsid w:val="00635BA9"/>
    <w:rsid w:val="00637F1C"/>
    <w:rsid w:val="00655282"/>
    <w:rsid w:val="006605A7"/>
    <w:rsid w:val="006933F4"/>
    <w:rsid w:val="00695250"/>
    <w:rsid w:val="006C65EE"/>
    <w:rsid w:val="006E11DA"/>
    <w:rsid w:val="006E78D6"/>
    <w:rsid w:val="006F0C09"/>
    <w:rsid w:val="00722BA0"/>
    <w:rsid w:val="00747714"/>
    <w:rsid w:val="0077068B"/>
    <w:rsid w:val="007709F0"/>
    <w:rsid w:val="00770DF4"/>
    <w:rsid w:val="00776FB2"/>
    <w:rsid w:val="007963EF"/>
    <w:rsid w:val="007C015C"/>
    <w:rsid w:val="00803F85"/>
    <w:rsid w:val="00807F82"/>
    <w:rsid w:val="008146C1"/>
    <w:rsid w:val="00814B9F"/>
    <w:rsid w:val="00831666"/>
    <w:rsid w:val="008401B6"/>
    <w:rsid w:val="00843C9D"/>
    <w:rsid w:val="00846325"/>
    <w:rsid w:val="0089682E"/>
    <w:rsid w:val="008A4216"/>
    <w:rsid w:val="008B63EF"/>
    <w:rsid w:val="008C2EB2"/>
    <w:rsid w:val="008F4FFD"/>
    <w:rsid w:val="00910528"/>
    <w:rsid w:val="009115EB"/>
    <w:rsid w:val="00925BBC"/>
    <w:rsid w:val="00925E12"/>
    <w:rsid w:val="009513BD"/>
    <w:rsid w:val="0096299D"/>
    <w:rsid w:val="00966480"/>
    <w:rsid w:val="0099172A"/>
    <w:rsid w:val="009D181D"/>
    <w:rsid w:val="009E448D"/>
    <w:rsid w:val="009F5CBC"/>
    <w:rsid w:val="00A0206D"/>
    <w:rsid w:val="00A100FB"/>
    <w:rsid w:val="00A16377"/>
    <w:rsid w:val="00A16927"/>
    <w:rsid w:val="00A2565E"/>
    <w:rsid w:val="00A71521"/>
    <w:rsid w:val="00A771B9"/>
    <w:rsid w:val="00A912C4"/>
    <w:rsid w:val="00AB0241"/>
    <w:rsid w:val="00AB4937"/>
    <w:rsid w:val="00AC2ADD"/>
    <w:rsid w:val="00AE466E"/>
    <w:rsid w:val="00AF0AE6"/>
    <w:rsid w:val="00AF7529"/>
    <w:rsid w:val="00B17093"/>
    <w:rsid w:val="00B277E6"/>
    <w:rsid w:val="00B45F52"/>
    <w:rsid w:val="00B6475C"/>
    <w:rsid w:val="00BF2D23"/>
    <w:rsid w:val="00C13B7A"/>
    <w:rsid w:val="00C267D5"/>
    <w:rsid w:val="00C4727D"/>
    <w:rsid w:val="00C64D1B"/>
    <w:rsid w:val="00C8081B"/>
    <w:rsid w:val="00CA215D"/>
    <w:rsid w:val="00CC39A7"/>
    <w:rsid w:val="00CE3DF7"/>
    <w:rsid w:val="00CF336A"/>
    <w:rsid w:val="00D00101"/>
    <w:rsid w:val="00D202CA"/>
    <w:rsid w:val="00D4719D"/>
    <w:rsid w:val="00D64FBD"/>
    <w:rsid w:val="00D71A60"/>
    <w:rsid w:val="00D729DB"/>
    <w:rsid w:val="00DA3B33"/>
    <w:rsid w:val="00DB3628"/>
    <w:rsid w:val="00DD1667"/>
    <w:rsid w:val="00DF093F"/>
    <w:rsid w:val="00DF3863"/>
    <w:rsid w:val="00E07503"/>
    <w:rsid w:val="00E1744F"/>
    <w:rsid w:val="00E36245"/>
    <w:rsid w:val="00E70F05"/>
    <w:rsid w:val="00E93E5E"/>
    <w:rsid w:val="00E95F23"/>
    <w:rsid w:val="00EC22D5"/>
    <w:rsid w:val="00EC3D00"/>
    <w:rsid w:val="00ED1A47"/>
    <w:rsid w:val="00EF6B50"/>
    <w:rsid w:val="00F06367"/>
    <w:rsid w:val="00F248FA"/>
    <w:rsid w:val="00F25BBC"/>
    <w:rsid w:val="00F43827"/>
    <w:rsid w:val="00F54E55"/>
    <w:rsid w:val="00F76E43"/>
    <w:rsid w:val="00F81BF2"/>
    <w:rsid w:val="00F847B2"/>
    <w:rsid w:val="00F87AB6"/>
    <w:rsid w:val="00FB3AD4"/>
    <w:rsid w:val="00FD6E7F"/>
    <w:rsid w:val="00FE1CE4"/>
    <w:rsid w:val="00FF4C87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93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93F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FD6E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6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9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93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93F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FD6E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6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9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41CADA-DD90-446B-9493-5736252855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3BAA90-50EF-4287-87F5-F3B4AA147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2BA372-0F51-4320-93A2-FCCD4B2692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定　道生</dc:creator>
  <cp:lastModifiedBy>池田　桂周</cp:lastModifiedBy>
  <cp:revision>6</cp:revision>
  <cp:lastPrinted>2017-07-18T03:59:00Z</cp:lastPrinted>
  <dcterms:created xsi:type="dcterms:W3CDTF">2017-07-24T12:20:00Z</dcterms:created>
  <dcterms:modified xsi:type="dcterms:W3CDTF">2017-08-24T04:24:00Z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