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04" w:rsidRPr="00E75EC4" w:rsidRDefault="005F3E04" w:rsidP="005F3E04">
      <w:pPr>
        <w:adjustRightInd w:val="0"/>
        <w:snapToGrid w:val="0"/>
        <w:spacing w:line="280" w:lineRule="exact"/>
        <w:jc w:val="center"/>
        <w:rPr>
          <w:rFonts w:ascii="HG丸ｺﾞｼｯｸM-PRO" w:eastAsia="HG丸ｺﾞｼｯｸM-PRO" w:hAnsi="HG丸ｺﾞｼｯｸM-PRO"/>
          <w:b/>
          <w:sz w:val="22"/>
          <w:szCs w:val="20"/>
        </w:rPr>
      </w:pPr>
      <w:r w:rsidRPr="00E75EC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E75EC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E75EC4" w:rsidRPr="00E75EC4" w:rsidTr="00946C39">
        <w:tc>
          <w:tcPr>
            <w:tcW w:w="993" w:type="dxa"/>
            <w:tcBorders>
              <w:top w:val="single" w:sz="12" w:space="0" w:color="auto"/>
              <w:left w:val="single" w:sz="12" w:space="0" w:color="auto"/>
              <w:bottom w:val="single" w:sz="12" w:space="0" w:color="auto"/>
            </w:tcBorders>
            <w:shd w:val="clear" w:color="auto" w:fill="FFFF00"/>
          </w:tcPr>
          <w:p w:rsidR="00AB4937" w:rsidRPr="00E75EC4" w:rsidRDefault="00AB4937" w:rsidP="00DB254C">
            <w:pPr>
              <w:adjustRightInd w:val="0"/>
              <w:snapToGrid w:val="0"/>
              <w:spacing w:line="280" w:lineRule="exact"/>
              <w:jc w:val="center"/>
              <w:rPr>
                <w:rFonts w:ascii="HG丸ｺﾞｼｯｸM-PRO" w:eastAsia="HG丸ｺﾞｼｯｸM-PRO" w:hAnsi="HG丸ｺﾞｼｯｸM-PRO"/>
                <w:sz w:val="24"/>
                <w:szCs w:val="20"/>
              </w:rPr>
            </w:pPr>
            <w:r w:rsidRPr="00E75EC4">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E75EC4" w:rsidRDefault="00946C39" w:rsidP="00DB254C">
            <w:pPr>
              <w:adjustRightInd w:val="0"/>
              <w:snapToGrid w:val="0"/>
              <w:spacing w:line="280" w:lineRule="exact"/>
              <w:rPr>
                <w:rFonts w:ascii="HG丸ｺﾞｼｯｸM-PRO" w:eastAsia="HG丸ｺﾞｼｯｸM-PRO" w:hAnsi="HG丸ｺﾞｼｯｸM-PRO"/>
                <w:b/>
                <w:sz w:val="24"/>
                <w:szCs w:val="20"/>
              </w:rPr>
            </w:pPr>
            <w:r w:rsidRPr="00E75EC4">
              <w:rPr>
                <w:rFonts w:ascii="HG丸ｺﾞｼｯｸM-PRO" w:eastAsia="HG丸ｺﾞｼｯｸM-PRO" w:hAnsi="HG丸ｺﾞｼｯｸM-PRO" w:hint="eastAsia"/>
                <w:b/>
                <w:sz w:val="24"/>
                <w:szCs w:val="20"/>
              </w:rPr>
              <w:t>Ⅱ-3</w:t>
            </w:r>
            <w:r w:rsidR="000270CC" w:rsidRPr="00E75EC4">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AB4937" w:rsidRPr="00E75EC4" w:rsidRDefault="00AB4937" w:rsidP="00DB254C">
            <w:pPr>
              <w:adjustRightInd w:val="0"/>
              <w:snapToGrid w:val="0"/>
              <w:spacing w:line="280" w:lineRule="exact"/>
              <w:jc w:val="center"/>
              <w:rPr>
                <w:rFonts w:ascii="HG丸ｺﾞｼｯｸM-PRO" w:eastAsia="HG丸ｺﾞｼｯｸM-PRO" w:hAnsi="HG丸ｺﾞｼｯｸM-PRO"/>
                <w:sz w:val="24"/>
                <w:szCs w:val="20"/>
              </w:rPr>
            </w:pPr>
            <w:r w:rsidRPr="00E75EC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75EC4" w:rsidRDefault="00A9301E" w:rsidP="00DB254C">
            <w:pPr>
              <w:adjustRightInd w:val="0"/>
              <w:snapToGrid w:val="0"/>
              <w:spacing w:line="280" w:lineRule="exact"/>
              <w:rPr>
                <w:rFonts w:ascii="HG丸ｺﾞｼｯｸM-PRO" w:eastAsia="HG丸ｺﾞｼｯｸM-PRO" w:hAnsi="HG丸ｺﾞｼｯｸM-PRO"/>
                <w:b/>
                <w:sz w:val="24"/>
                <w:szCs w:val="20"/>
              </w:rPr>
            </w:pPr>
            <w:r w:rsidRPr="00E75EC4">
              <w:rPr>
                <w:rFonts w:ascii="HG丸ｺﾞｼｯｸM-PRO" w:eastAsia="HG丸ｺﾞｼｯｸM-PRO" w:hAnsi="HG丸ｺﾞｼｯｸM-PRO" w:hint="eastAsia"/>
                <w:b/>
                <w:sz w:val="24"/>
                <w:szCs w:val="20"/>
              </w:rPr>
              <w:t>16</w:t>
            </w:r>
          </w:p>
        </w:tc>
        <w:tc>
          <w:tcPr>
            <w:tcW w:w="993" w:type="dxa"/>
            <w:tcBorders>
              <w:top w:val="single" w:sz="12" w:space="0" w:color="auto"/>
              <w:bottom w:val="single" w:sz="12" w:space="0" w:color="auto"/>
            </w:tcBorders>
            <w:shd w:val="clear" w:color="auto" w:fill="FFFF00"/>
          </w:tcPr>
          <w:p w:rsidR="00AB4937" w:rsidRPr="00E75EC4" w:rsidRDefault="00AB4937" w:rsidP="00DB254C">
            <w:pPr>
              <w:adjustRightInd w:val="0"/>
              <w:snapToGrid w:val="0"/>
              <w:spacing w:line="280" w:lineRule="exact"/>
              <w:jc w:val="center"/>
              <w:rPr>
                <w:rFonts w:ascii="HG丸ｺﾞｼｯｸM-PRO" w:eastAsia="HG丸ｺﾞｼｯｸM-PRO" w:hAnsi="HG丸ｺﾞｼｯｸM-PRO"/>
                <w:sz w:val="24"/>
                <w:szCs w:val="20"/>
              </w:rPr>
            </w:pPr>
            <w:r w:rsidRPr="00E75EC4">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AB4937" w:rsidRPr="00E75EC4" w:rsidRDefault="000270CC" w:rsidP="00DB254C">
            <w:pPr>
              <w:adjustRightInd w:val="0"/>
              <w:snapToGrid w:val="0"/>
              <w:spacing w:line="280" w:lineRule="exact"/>
              <w:rPr>
                <w:rFonts w:ascii="HG丸ｺﾞｼｯｸM-PRO" w:eastAsia="HG丸ｺﾞｼｯｸM-PRO" w:hAnsi="HG丸ｺﾞｼｯｸM-PRO"/>
                <w:b/>
                <w:sz w:val="24"/>
                <w:szCs w:val="20"/>
              </w:rPr>
            </w:pPr>
            <w:r w:rsidRPr="00E75EC4">
              <w:rPr>
                <w:rFonts w:ascii="HG丸ｺﾞｼｯｸM-PRO" w:eastAsia="HG丸ｺﾞｼｯｸM-PRO" w:hAnsi="HG丸ｺﾞｼｯｸM-PRO" w:hint="eastAsia"/>
                <w:b/>
                <w:sz w:val="24"/>
                <w:szCs w:val="20"/>
              </w:rPr>
              <w:t>生息環境の保全</w:t>
            </w:r>
          </w:p>
        </w:tc>
      </w:tr>
    </w:tbl>
    <w:p w:rsidR="00AB4937" w:rsidRPr="00E75EC4"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51"/>
        <w:gridCol w:w="358"/>
        <w:gridCol w:w="875"/>
        <w:gridCol w:w="425"/>
        <w:gridCol w:w="993"/>
        <w:gridCol w:w="567"/>
        <w:gridCol w:w="83"/>
        <w:gridCol w:w="625"/>
        <w:gridCol w:w="3738"/>
        <w:gridCol w:w="4768"/>
      </w:tblGrid>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目的、内容</w:t>
            </w:r>
          </w:p>
        </w:tc>
        <w:tc>
          <w:tcPr>
            <w:tcW w:w="12783" w:type="dxa"/>
            <w:gridSpan w:val="10"/>
            <w:shd w:val="clear" w:color="auto" w:fill="auto"/>
          </w:tcPr>
          <w:p w:rsidR="00D7083A" w:rsidRPr="00E75EC4" w:rsidRDefault="00D7083A" w:rsidP="00ED0B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生物多様性保全に資する地域指定の拡大（保安林、鳥獣保護区等の拡大）、農空間保全地域制度による保全の推進</w:t>
            </w:r>
          </w:p>
          <w:p w:rsidR="00D7083A" w:rsidRPr="00E75EC4" w:rsidRDefault="00D7083A" w:rsidP="0076190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2020年目標：生物多様性保全に資する地域指定を計画策定時（2010年3月末81,970ha）から2,000ha拡大</w:t>
            </w:r>
          </w:p>
        </w:tc>
      </w:tr>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副次的効果、外部効果等</w:t>
            </w:r>
          </w:p>
        </w:tc>
        <w:tc>
          <w:tcPr>
            <w:tcW w:w="12783" w:type="dxa"/>
            <w:gridSpan w:val="10"/>
            <w:shd w:val="clear" w:color="auto" w:fill="auto"/>
          </w:tcPr>
          <w:p w:rsidR="00D7083A" w:rsidRPr="00E75EC4" w:rsidRDefault="00D7083A" w:rsidP="00885A9E">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①生息環境を回復するための取組みにより、身近に生き物と触れ合える水とみどり豊かな都市が実現する。</w:t>
            </w:r>
          </w:p>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関係法令、行政計画等</w:t>
            </w:r>
          </w:p>
        </w:tc>
        <w:tc>
          <w:tcPr>
            <w:tcW w:w="12783" w:type="dxa"/>
            <w:gridSpan w:val="10"/>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生物多様性条約、生物多様性基本法、生物多様性国家戦略</w:t>
            </w:r>
            <w:r w:rsidRPr="00E75EC4">
              <w:rPr>
                <w:rFonts w:ascii="HG丸ｺﾞｼｯｸM-PRO" w:eastAsia="HG丸ｺﾞｼｯｸM-PRO" w:hAnsi="HG丸ｺﾞｼｯｸM-PRO"/>
                <w:sz w:val="20"/>
                <w:szCs w:val="20"/>
              </w:rPr>
              <w:t>201</w:t>
            </w:r>
            <w:r w:rsidRPr="00E75EC4">
              <w:rPr>
                <w:rFonts w:ascii="HG丸ｺﾞｼｯｸM-PRO" w:eastAsia="HG丸ｺﾞｼｯｸM-PRO" w:hAnsi="HG丸ｺﾞｼｯｸM-PRO" w:hint="eastAsia"/>
                <w:sz w:val="20"/>
                <w:szCs w:val="20"/>
              </w:rPr>
              <w:t>2</w:t>
            </w:r>
            <w:r w:rsidRPr="00E75EC4">
              <w:rPr>
                <w:rFonts w:ascii="HG丸ｺﾞｼｯｸM-PRO" w:eastAsia="HG丸ｺﾞｼｯｸM-PRO" w:hAnsi="HG丸ｺﾞｼｯｸM-PRO"/>
                <w:sz w:val="20"/>
                <w:szCs w:val="20"/>
              </w:rPr>
              <w:t>-2020</w:t>
            </w:r>
            <w:r w:rsidRPr="00E75EC4">
              <w:rPr>
                <w:rFonts w:ascii="HG丸ｺﾞｼｯｸM-PRO" w:eastAsia="HG丸ｺﾞｼｯｸM-PRO" w:hAnsi="HG丸ｺﾞｼｯｸM-PRO" w:hint="eastAsia"/>
                <w:sz w:val="20"/>
                <w:szCs w:val="20"/>
              </w:rPr>
              <w:t>(H24.9)</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みどりの大阪推進計画（H21年12月、H37年まで）</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kern w:val="0"/>
                <w:sz w:val="20"/>
                <w:szCs w:val="20"/>
              </w:rPr>
              <w:t>新・大阪府豊かな海づくりプラン（H27年4月、H36年度まで）</w:t>
            </w:r>
          </w:p>
        </w:tc>
      </w:tr>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国等の政策、社会情勢等</w:t>
            </w:r>
          </w:p>
        </w:tc>
        <w:tc>
          <w:tcPr>
            <w:tcW w:w="12783" w:type="dxa"/>
            <w:gridSpan w:val="10"/>
            <w:shd w:val="clear" w:color="auto" w:fill="auto"/>
          </w:tcPr>
          <w:p w:rsidR="00D7083A" w:rsidRPr="00E75EC4" w:rsidRDefault="00D7083A" w:rsidP="00885A9E">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①H22年10月名古屋市にて生物多様性条約第10回締約国会議(COP10)開催、新戦略計画・愛知目標（2020年までに生態系が強靱で基礎的なサービスを提供できるよう、生物多様性の損失を止めるために実効的かつ緊急の行動を起こす）、名古屋議定書等を採択。</w:t>
            </w:r>
          </w:p>
          <w:p w:rsidR="00D7083A" w:rsidRPr="00E75EC4" w:rsidRDefault="00D7083A" w:rsidP="00885A9E">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②「生物多様性国家戦略2012-2020」H24年９月閣議決定。基本戦略、各主体に期待される役割、ロードマップ、行動計画を規定。</w:t>
            </w:r>
          </w:p>
        </w:tc>
      </w:tr>
      <w:tr w:rsidR="00E75EC4" w:rsidRPr="00E75EC4" w:rsidTr="00AC4C48">
        <w:trPr>
          <w:trHeight w:val="70"/>
        </w:trPr>
        <w:tc>
          <w:tcPr>
            <w:tcW w:w="1960" w:type="dxa"/>
            <w:vMerge w:val="restart"/>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（参考）</w:t>
            </w:r>
          </w:p>
          <w:p w:rsidR="00AC4C48" w:rsidRPr="00E75EC4" w:rsidRDefault="00AC4C48" w:rsidP="00975004">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「講じた施策」に記載した施策事業コスト</w:t>
            </w:r>
          </w:p>
        </w:tc>
        <w:tc>
          <w:tcPr>
            <w:tcW w:w="3652" w:type="dxa"/>
            <w:gridSpan w:val="7"/>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2014年度（決算額）（千円）</w:t>
            </w:r>
          </w:p>
        </w:tc>
        <w:tc>
          <w:tcPr>
            <w:tcW w:w="4363" w:type="dxa"/>
            <w:gridSpan w:val="2"/>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2015年度（決算額）（千円）</w:t>
            </w:r>
          </w:p>
        </w:tc>
        <w:tc>
          <w:tcPr>
            <w:tcW w:w="4768" w:type="dxa"/>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2016年度（決算見込額）（千円）</w:t>
            </w:r>
          </w:p>
        </w:tc>
      </w:tr>
      <w:tr w:rsidR="00E75EC4" w:rsidRPr="00E75EC4" w:rsidTr="00AC4C48">
        <w:trPr>
          <w:trHeight w:val="585"/>
        </w:trPr>
        <w:tc>
          <w:tcPr>
            <w:tcW w:w="1960" w:type="dxa"/>
            <w:vMerge/>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sz w:val="20"/>
                <w:szCs w:val="20"/>
              </w:rPr>
            </w:pPr>
          </w:p>
        </w:tc>
        <w:tc>
          <w:tcPr>
            <w:tcW w:w="3652" w:type="dxa"/>
            <w:gridSpan w:val="7"/>
            <w:tcBorders>
              <w:bottom w:val="single" w:sz="4" w:space="0" w:color="auto"/>
              <w:right w:val="single" w:sz="4" w:space="0" w:color="auto"/>
            </w:tcBorders>
            <w:shd w:val="clear" w:color="auto" w:fill="auto"/>
            <w:vAlign w:val="center"/>
          </w:tcPr>
          <w:p w:rsidR="00AC4C48" w:rsidRPr="00E75EC4" w:rsidRDefault="00AC4C48" w:rsidP="00975004">
            <w:pPr>
              <w:adjustRightInd w:val="0"/>
              <w:snapToGrid w:val="0"/>
              <w:jc w:val="right"/>
              <w:rPr>
                <w:rFonts w:ascii="HG丸ｺﾞｼｯｸM-PRO" w:eastAsia="HG丸ｺﾞｼｯｸM-PRO" w:hAnsi="HG丸ｺﾞｼｯｸM-PRO" w:cs="ＭＳ Ｐゴシック"/>
                <w:sz w:val="20"/>
                <w:szCs w:val="20"/>
              </w:rPr>
            </w:pPr>
            <w:r w:rsidRPr="00E75EC4">
              <w:rPr>
                <w:rFonts w:ascii="HG丸ｺﾞｼｯｸM-PRO" w:eastAsia="HG丸ｺﾞｼｯｸM-PRO" w:hAnsi="HG丸ｺﾞｼｯｸM-PRO" w:cs="ＭＳ Ｐゴシック" w:hint="eastAsia"/>
                <w:sz w:val="20"/>
                <w:szCs w:val="20"/>
              </w:rPr>
              <w:t>107,287</w:t>
            </w:r>
          </w:p>
        </w:tc>
        <w:tc>
          <w:tcPr>
            <w:tcW w:w="4363" w:type="dxa"/>
            <w:gridSpan w:val="2"/>
            <w:tcBorders>
              <w:left w:val="single" w:sz="4" w:space="0" w:color="auto"/>
              <w:bottom w:val="single" w:sz="4" w:space="0" w:color="auto"/>
              <w:right w:val="single" w:sz="4" w:space="0" w:color="auto"/>
            </w:tcBorders>
            <w:shd w:val="clear" w:color="auto" w:fill="auto"/>
            <w:vAlign w:val="center"/>
          </w:tcPr>
          <w:p w:rsidR="00AC4C48" w:rsidRPr="00E75EC4" w:rsidRDefault="00AC4C48" w:rsidP="00975004">
            <w:pPr>
              <w:adjustRightInd w:val="0"/>
              <w:snapToGrid w:val="0"/>
              <w:jc w:val="right"/>
              <w:rPr>
                <w:rFonts w:ascii="HG丸ｺﾞｼｯｸM-PRO" w:eastAsia="HG丸ｺﾞｼｯｸM-PRO" w:hAnsi="HG丸ｺﾞｼｯｸM-PRO" w:cs="ＭＳ Ｐゴシック"/>
                <w:sz w:val="20"/>
                <w:szCs w:val="20"/>
              </w:rPr>
            </w:pPr>
            <w:r w:rsidRPr="00E75EC4">
              <w:rPr>
                <w:rFonts w:ascii="HG丸ｺﾞｼｯｸM-PRO" w:eastAsia="HG丸ｺﾞｼｯｸM-PRO" w:hAnsi="HG丸ｺﾞｼｯｸM-PRO" w:cs="ＭＳ Ｐゴシック" w:hint="eastAsia"/>
                <w:sz w:val="20"/>
                <w:szCs w:val="20"/>
              </w:rPr>
              <w:t>179,904</w:t>
            </w:r>
          </w:p>
        </w:tc>
        <w:tc>
          <w:tcPr>
            <w:tcW w:w="4768" w:type="dxa"/>
            <w:tcBorders>
              <w:left w:val="single" w:sz="4" w:space="0" w:color="auto"/>
              <w:bottom w:val="single" w:sz="4" w:space="0" w:color="auto"/>
            </w:tcBorders>
            <w:shd w:val="clear" w:color="auto" w:fill="auto"/>
            <w:vAlign w:val="center"/>
          </w:tcPr>
          <w:p w:rsidR="00AC4C48" w:rsidRPr="00E75EC4" w:rsidRDefault="00AC4C48" w:rsidP="00975004">
            <w:pPr>
              <w:adjustRightInd w:val="0"/>
              <w:snapToGrid w:val="0"/>
              <w:jc w:val="right"/>
              <w:rPr>
                <w:rFonts w:ascii="HG丸ｺﾞｼｯｸM-PRO" w:eastAsia="HG丸ｺﾞｼｯｸM-PRO" w:hAnsi="HG丸ｺﾞｼｯｸM-PRO" w:cs="ＭＳ Ｐゴシック"/>
                <w:sz w:val="20"/>
                <w:szCs w:val="20"/>
              </w:rPr>
            </w:pPr>
            <w:r w:rsidRPr="00E75EC4">
              <w:rPr>
                <w:rFonts w:ascii="HG丸ｺﾞｼｯｸM-PRO" w:eastAsia="HG丸ｺﾞｼｯｸM-PRO" w:hAnsi="HG丸ｺﾞｼｯｸM-PRO" w:cs="ＭＳ Ｐゴシック" w:hint="eastAsia"/>
                <w:sz w:val="20"/>
                <w:szCs w:val="20"/>
              </w:rPr>
              <w:t>148,435</w:t>
            </w:r>
          </w:p>
        </w:tc>
      </w:tr>
      <w:tr w:rsidR="00E75EC4" w:rsidRPr="00E75EC4" w:rsidTr="00AC4C48">
        <w:trPr>
          <w:trHeight w:val="295"/>
        </w:trPr>
        <w:tc>
          <w:tcPr>
            <w:tcW w:w="1960" w:type="dxa"/>
            <w:vMerge/>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b/>
                <w:sz w:val="20"/>
                <w:szCs w:val="20"/>
              </w:rPr>
            </w:pPr>
          </w:p>
        </w:tc>
        <w:tc>
          <w:tcPr>
            <w:tcW w:w="12783" w:type="dxa"/>
            <w:gridSpan w:val="10"/>
            <w:shd w:val="clear" w:color="auto" w:fill="auto"/>
          </w:tcPr>
          <w:p w:rsidR="00AC4C48" w:rsidRPr="00E75EC4" w:rsidRDefault="00AC4C48"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E75EC4" w:rsidRPr="00E75EC4" w:rsidTr="00AC4C48">
        <w:trPr>
          <w:trHeight w:val="210"/>
        </w:trPr>
        <w:tc>
          <w:tcPr>
            <w:tcW w:w="1960" w:type="dxa"/>
            <w:vMerge w:val="restart"/>
            <w:shd w:val="clear" w:color="auto" w:fill="FFFF00"/>
          </w:tcPr>
          <w:p w:rsidR="00D7083A" w:rsidRPr="00E75EC4" w:rsidRDefault="00D7083A" w:rsidP="002856C5">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取組指標及び実績</w:t>
            </w:r>
          </w:p>
          <w:p w:rsidR="00D7083A" w:rsidRPr="00E75EC4" w:rsidRDefault="00D7083A" w:rsidP="002856C5">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（施策効果の定量評価）</w:t>
            </w:r>
          </w:p>
        </w:tc>
        <w:tc>
          <w:tcPr>
            <w:tcW w:w="709" w:type="dxa"/>
            <w:gridSpan w:val="2"/>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300" w:type="dxa"/>
            <w:gridSpan w:val="2"/>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名称</w:t>
            </w:r>
          </w:p>
        </w:tc>
        <w:tc>
          <w:tcPr>
            <w:tcW w:w="2268" w:type="dxa"/>
            <w:gridSpan w:val="4"/>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把握方法</w:t>
            </w:r>
          </w:p>
        </w:tc>
        <w:tc>
          <w:tcPr>
            <w:tcW w:w="8506" w:type="dxa"/>
            <w:gridSpan w:val="2"/>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実績</w:t>
            </w:r>
          </w:p>
        </w:tc>
      </w:tr>
      <w:tr w:rsidR="00E75EC4" w:rsidRPr="00E75EC4" w:rsidTr="00AC4C48">
        <w:trPr>
          <w:trHeight w:val="635"/>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709" w:type="dxa"/>
            <w:gridSpan w:val="2"/>
            <w:shd w:val="clear" w:color="auto" w:fill="auto"/>
          </w:tcPr>
          <w:p w:rsidR="00D7083A" w:rsidRPr="00E75EC4" w:rsidRDefault="00D7083A" w:rsidP="00DB254C">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①</w:t>
            </w:r>
          </w:p>
        </w:tc>
        <w:tc>
          <w:tcPr>
            <w:tcW w:w="1300" w:type="dxa"/>
            <w:gridSpan w:val="2"/>
            <w:shd w:val="clear" w:color="auto" w:fill="auto"/>
          </w:tcPr>
          <w:p w:rsidR="00D7083A" w:rsidRPr="00E75EC4" w:rsidRDefault="00D7083A" w:rsidP="00DB254C">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生物多様性保全に資する地域指定の対象面積</w:t>
            </w:r>
          </w:p>
        </w:tc>
        <w:tc>
          <w:tcPr>
            <w:tcW w:w="2268" w:type="dxa"/>
            <w:gridSpan w:val="4"/>
            <w:shd w:val="clear" w:color="auto" w:fill="auto"/>
          </w:tcPr>
          <w:p w:rsidR="00D7083A" w:rsidRPr="00E75EC4" w:rsidRDefault="00D7083A" w:rsidP="00DB254C">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保安林、鳥獣保護区、国定公園、府立自然公園、近郊緑地保全区域等の面積を合算（府環境白書掲載データ）</w:t>
            </w:r>
          </w:p>
        </w:tc>
        <w:tc>
          <w:tcPr>
            <w:tcW w:w="8506" w:type="dxa"/>
            <w:gridSpan w:val="2"/>
            <w:shd w:val="clear" w:color="auto" w:fill="auto"/>
          </w:tcPr>
          <w:p w:rsidR="00D7083A" w:rsidRPr="00E75EC4" w:rsidRDefault="00D7083A" w:rsidP="00B7028E">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81,991ha（2009年度末）</w:t>
            </w:r>
          </w:p>
          <w:p w:rsidR="00D7083A" w:rsidRPr="00E75EC4" w:rsidRDefault="00D7083A" w:rsidP="00DB254C">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83,892ha（2016年度末）</w:t>
            </w:r>
          </w:p>
          <w:p w:rsidR="00D7083A" w:rsidRPr="00E75EC4" w:rsidRDefault="00D7083A" w:rsidP="00DB254C">
            <w:pPr>
              <w:adjustRightInd w:val="0"/>
              <w:snapToGrid w:val="0"/>
              <w:rPr>
                <w:rFonts w:ascii="HG丸ｺﾞｼｯｸM-PRO" w:eastAsia="HG丸ｺﾞｼｯｸM-PRO" w:hAnsi="HG丸ｺﾞｼｯｸM-PRO"/>
                <w:sz w:val="20"/>
                <w:szCs w:val="20"/>
              </w:rPr>
            </w:pPr>
          </w:p>
        </w:tc>
      </w:tr>
      <w:tr w:rsidR="00E75EC4" w:rsidRPr="00E75EC4" w:rsidTr="00AC4C48">
        <w:trPr>
          <w:trHeight w:val="70"/>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12783" w:type="dxa"/>
            <w:gridSpan w:val="10"/>
            <w:shd w:val="clear" w:color="auto" w:fill="auto"/>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E75EC4" w:rsidRPr="00E75EC4" w:rsidTr="00AC4C48">
        <w:trPr>
          <w:trHeight w:val="240"/>
        </w:trPr>
        <w:tc>
          <w:tcPr>
            <w:tcW w:w="1960" w:type="dxa"/>
            <w:tcBorders>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w w:val="90"/>
                <w:sz w:val="20"/>
                <w:szCs w:val="20"/>
              </w:rPr>
            </w:pPr>
            <w:r w:rsidRPr="00E75EC4">
              <w:rPr>
                <w:rFonts w:ascii="HG丸ｺﾞｼｯｸM-PRO" w:eastAsia="HG丸ｺﾞｼｯｸM-PRO" w:hAnsi="HG丸ｺﾞｼｯｸM-PRO" w:hint="eastAsia"/>
                <w:b/>
                <w:w w:val="90"/>
                <w:sz w:val="20"/>
                <w:szCs w:val="20"/>
              </w:rPr>
              <w:t>工程表の進捗状況</w:t>
            </w:r>
          </w:p>
        </w:tc>
        <w:tc>
          <w:tcPr>
            <w:tcW w:w="1584" w:type="dxa"/>
            <w:gridSpan w:val="3"/>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工程名</w:t>
            </w:r>
          </w:p>
        </w:tc>
        <w:tc>
          <w:tcPr>
            <w:tcW w:w="1418" w:type="dxa"/>
            <w:gridSpan w:val="2"/>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進捗状況</w:t>
            </w:r>
            <w:r w:rsidRPr="00E75EC4">
              <w:rPr>
                <w:rFonts w:ascii="HG丸ｺﾞｼｯｸM-PRO" w:eastAsia="HG丸ｺﾞｼｯｸM-PRO" w:hAnsi="HG丸ｺﾞｼｯｸM-PRO" w:hint="eastAsia"/>
                <w:sz w:val="20"/>
                <w:szCs w:val="20"/>
                <w:vertAlign w:val="superscript"/>
              </w:rPr>
              <w:t>※</w:t>
            </w:r>
          </w:p>
        </w:tc>
        <w:tc>
          <w:tcPr>
            <w:tcW w:w="1275" w:type="dxa"/>
            <w:gridSpan w:val="3"/>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主な事業の名称</w:t>
            </w:r>
          </w:p>
        </w:tc>
        <w:tc>
          <w:tcPr>
            <w:tcW w:w="8506" w:type="dxa"/>
            <w:gridSpan w:val="2"/>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事業の実施状況</w:t>
            </w:r>
          </w:p>
        </w:tc>
      </w:tr>
      <w:tr w:rsidR="00E75EC4" w:rsidRPr="00E75EC4" w:rsidTr="00AC4C48">
        <w:trPr>
          <w:trHeight w:val="70"/>
        </w:trPr>
        <w:tc>
          <w:tcPr>
            <w:tcW w:w="1960" w:type="dxa"/>
            <w:tcBorders>
              <w:top w:val="nil"/>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002" w:type="dxa"/>
            <w:gridSpan w:val="5"/>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生息環境の保全・再生の仕組み</w:t>
            </w:r>
          </w:p>
        </w:tc>
        <w:tc>
          <w:tcPr>
            <w:tcW w:w="1275" w:type="dxa"/>
            <w:gridSpan w:val="3"/>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88"/>
        </w:trPr>
        <w:tc>
          <w:tcPr>
            <w:tcW w:w="1960" w:type="dxa"/>
            <w:tcBorders>
              <w:top w:val="nil"/>
              <w:bottom w:val="nil"/>
            </w:tcBorders>
            <w:shd w:val="clear" w:color="auto" w:fill="FFFF00"/>
          </w:tcPr>
          <w:p w:rsidR="00D7083A" w:rsidRPr="00E75EC4" w:rsidRDefault="00D7083A" w:rsidP="002E733E">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生物多様性推進拠点の整備</w:t>
            </w:r>
          </w:p>
        </w:tc>
        <w:tc>
          <w:tcPr>
            <w:tcW w:w="1418" w:type="dxa"/>
            <w:gridSpan w:val="2"/>
            <w:vMerge w:val="restart"/>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大阪府レッドデータリストの改訂（201３年度）</w:t>
            </w:r>
          </w:p>
        </w:tc>
        <w:tc>
          <w:tcPr>
            <w:tcW w:w="8506" w:type="dxa"/>
            <w:gridSpan w:val="2"/>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レッドリストにおいて生物多様性の高い地域をホットスポットとして選定、ランク付けを行い、保全を呼びかけ</w:t>
            </w:r>
          </w:p>
        </w:tc>
      </w:tr>
      <w:tr w:rsidR="00E75EC4" w:rsidRPr="00E75EC4" w:rsidTr="00AC4C48">
        <w:trPr>
          <w:trHeight w:val="88"/>
        </w:trPr>
        <w:tc>
          <w:tcPr>
            <w:tcW w:w="1960" w:type="dxa"/>
            <w:tcBorders>
              <w:top w:val="nil"/>
              <w:bottom w:val="nil"/>
            </w:tcBorders>
            <w:shd w:val="clear" w:color="auto" w:fill="FFFF00"/>
          </w:tcPr>
          <w:p w:rsidR="00D7083A" w:rsidRPr="00E75EC4" w:rsidRDefault="00D7083A" w:rsidP="002E733E">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多奈川ビオトープ保全活動の推進</w:t>
            </w:r>
          </w:p>
        </w:tc>
        <w:tc>
          <w:tcPr>
            <w:tcW w:w="8506" w:type="dxa"/>
            <w:gridSpan w:val="2"/>
            <w:shd w:val="clear" w:color="auto" w:fill="auto"/>
          </w:tcPr>
          <w:p w:rsidR="00D7083A" w:rsidRPr="00E75EC4" w:rsidRDefault="00D7083A" w:rsidP="001B558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2016年度の取組</w:t>
            </w:r>
          </w:p>
          <w:p w:rsidR="00D7083A" w:rsidRPr="00E75EC4" w:rsidRDefault="00D7083A" w:rsidP="001B558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ハイキングイベント　１回　参加者数338人</w:t>
            </w:r>
          </w:p>
          <w:p w:rsidR="00D7083A" w:rsidRPr="00E75EC4" w:rsidRDefault="00D7083A" w:rsidP="001B558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自然観察イベント　５回　参加者数401人</w:t>
            </w:r>
          </w:p>
        </w:tc>
      </w:tr>
      <w:tr w:rsidR="00E75EC4" w:rsidRPr="00E75EC4" w:rsidTr="00AC4C48">
        <w:trPr>
          <w:trHeight w:val="88"/>
        </w:trPr>
        <w:tc>
          <w:tcPr>
            <w:tcW w:w="1960" w:type="dxa"/>
            <w:tcBorders>
              <w:top w:val="nil"/>
              <w:bottom w:val="nil"/>
            </w:tcBorders>
            <w:shd w:val="clear" w:color="auto" w:fill="FFFF00"/>
          </w:tcPr>
          <w:p w:rsidR="00D7083A" w:rsidRPr="00E75EC4" w:rsidRDefault="00D7083A" w:rsidP="002E733E">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日本万国博覧会記念公園事業（市民参加型事業）</w:t>
            </w:r>
          </w:p>
        </w:tc>
        <w:tc>
          <w:tcPr>
            <w:tcW w:w="8506" w:type="dxa"/>
            <w:gridSpan w:val="2"/>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2016年度の取組</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・園内花壇管理　5,487人（参加のべ人数）</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・森づくり・足湯運営　26,763人（参加のべ人数）</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・竹林・田畑等の保全・管理　7,225人（参加のべ人数）</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・水質調査、野生生物生息調査　4,416人（参加のべ人数）</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・ガイドボランティア養成　117人（参加のべ人数）</w:t>
            </w:r>
          </w:p>
        </w:tc>
      </w:tr>
      <w:tr w:rsidR="00E75EC4" w:rsidRPr="00E75EC4" w:rsidTr="00AC4C48">
        <w:trPr>
          <w:trHeight w:val="70"/>
        </w:trPr>
        <w:tc>
          <w:tcPr>
            <w:tcW w:w="1960" w:type="dxa"/>
            <w:vMerge w:val="restart"/>
            <w:tcBorders>
              <w:top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生物多様性の保全に資する地域指定拡大</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（保安林・鳥獣保護区の拡大）</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（府立自然公園区域の指定）</w:t>
            </w:r>
          </w:p>
        </w:tc>
        <w:tc>
          <w:tcPr>
            <w:tcW w:w="1418" w:type="dxa"/>
            <w:gridSpan w:val="2"/>
            <w:vMerge w:val="restart"/>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621E6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保安林の指定</w:t>
            </w:r>
          </w:p>
        </w:tc>
        <w:tc>
          <w:tcPr>
            <w:tcW w:w="8506" w:type="dxa"/>
            <w:gridSpan w:val="2"/>
            <w:tcBorders>
              <w:bottom w:val="single" w:sz="4" w:space="0" w:color="auto"/>
            </w:tcBorders>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2014～16年度に253ha追加指定。</w:t>
            </w:r>
          </w:p>
        </w:tc>
      </w:tr>
      <w:tr w:rsidR="00E75EC4" w:rsidRPr="00E75EC4" w:rsidTr="00AC4C48">
        <w:trPr>
          <w:trHeight w:val="240"/>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ED0B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鳥獣保護区の指定・更新</w:t>
            </w:r>
          </w:p>
        </w:tc>
        <w:tc>
          <w:tcPr>
            <w:tcW w:w="8506" w:type="dxa"/>
            <w:gridSpan w:val="2"/>
            <w:tcBorders>
              <w:bottom w:val="single" w:sz="4" w:space="0" w:color="auto"/>
            </w:tcBorders>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（鳥獣保護区の区域拡大）201４年度：113ha（1ヵ所）</w:t>
            </w:r>
          </w:p>
          <w:p w:rsidR="00D7083A" w:rsidRPr="00E75EC4" w:rsidRDefault="00D7083A" w:rsidP="00E6209B">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（鳥獣保護区の更新）2014年度：305ha（１ヵ所 ※区域拡大による113ha含む）</w:t>
            </w:r>
          </w:p>
          <w:p w:rsidR="00D7083A" w:rsidRPr="00E75EC4" w:rsidRDefault="00D7083A" w:rsidP="00E6209B">
            <w:pPr>
              <w:adjustRightInd w:val="0"/>
              <w:snapToGrid w:val="0"/>
              <w:spacing w:line="280" w:lineRule="exact"/>
              <w:ind w:leftChars="100" w:left="210" w:firstLineChars="850" w:firstLine="17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2015年度：419ha（2ヵ所</w:t>
            </w:r>
            <w:r w:rsidRPr="00E75EC4">
              <w:rPr>
                <w:rFonts w:ascii="HG丸ｺﾞｼｯｸM-PRO" w:eastAsia="HG丸ｺﾞｼｯｸM-PRO" w:hAnsi="HG丸ｺﾞｼｯｸM-PRO"/>
                <w:sz w:val="20"/>
                <w:szCs w:val="20"/>
              </w:rPr>
              <w:t>）</w:t>
            </w:r>
            <w:r w:rsidRPr="00E75EC4">
              <w:rPr>
                <w:rFonts w:ascii="HG丸ｺﾞｼｯｸM-PRO" w:eastAsia="HG丸ｺﾞｼｯｸM-PRO" w:hAnsi="HG丸ｺﾞｼｯｸM-PRO" w:hint="eastAsia"/>
                <w:sz w:val="20"/>
                <w:szCs w:val="20"/>
              </w:rPr>
              <w:t>、2016年度：該当なし</w:t>
            </w:r>
          </w:p>
        </w:tc>
      </w:tr>
      <w:tr w:rsidR="00E75EC4" w:rsidRPr="00E75EC4" w:rsidTr="00AC4C48">
        <w:trPr>
          <w:trHeight w:val="210"/>
        </w:trPr>
        <w:tc>
          <w:tcPr>
            <w:tcW w:w="1960" w:type="dxa"/>
            <w:vMerge/>
            <w:tcBorders>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trike/>
                <w:sz w:val="20"/>
                <w:szCs w:val="20"/>
              </w:rPr>
            </w:pPr>
            <w:r w:rsidRPr="00E75EC4">
              <w:rPr>
                <w:rFonts w:ascii="HG丸ｺﾞｼｯｸM-PRO" w:eastAsia="HG丸ｺﾞｼｯｸM-PRO" w:hAnsi="HG丸ｺﾞｼｯｸM-PRO" w:hint="eastAsia"/>
                <w:sz w:val="20"/>
                <w:szCs w:val="20"/>
              </w:rPr>
              <w:t>大阪府緑地環境保全地域の指定</w:t>
            </w:r>
          </w:p>
        </w:tc>
        <w:tc>
          <w:tcPr>
            <w:tcW w:w="8506" w:type="dxa"/>
            <w:gridSpan w:val="2"/>
            <w:tcBorders>
              <w:bottom w:val="single" w:sz="4" w:space="0" w:color="auto"/>
            </w:tcBorders>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2014年度に、豊能町木代地区4.78haを指定</w:t>
            </w:r>
          </w:p>
        </w:tc>
      </w:tr>
      <w:tr w:rsidR="00E75EC4" w:rsidRPr="00E75EC4" w:rsidTr="00AC4C48">
        <w:trPr>
          <w:trHeight w:val="70"/>
        </w:trPr>
        <w:tc>
          <w:tcPr>
            <w:tcW w:w="1960" w:type="dxa"/>
            <w:tcBorders>
              <w:top w:val="nil"/>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天然記念物の追加指定の検討</w:t>
            </w:r>
          </w:p>
        </w:tc>
        <w:tc>
          <w:tcPr>
            <w:tcW w:w="1418" w:type="dxa"/>
            <w:gridSpan w:val="2"/>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天然記念物の指定</w:t>
            </w:r>
          </w:p>
        </w:tc>
        <w:tc>
          <w:tcPr>
            <w:tcW w:w="8506" w:type="dxa"/>
            <w:gridSpan w:val="2"/>
            <w:tcBorders>
              <w:top w:val="single" w:sz="4" w:space="0" w:color="auto"/>
            </w:tcBorders>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２０１４～１６年度は、国指定は追加なし。府指定は新たに３件を追加。さらに、指定候補となりうる樹木の調査を継続中。</w:t>
            </w:r>
          </w:p>
        </w:tc>
      </w:tr>
      <w:tr w:rsidR="00E75EC4" w:rsidRPr="00E75EC4" w:rsidTr="00AC4C48">
        <w:trPr>
          <w:trHeight w:val="70"/>
        </w:trPr>
        <w:tc>
          <w:tcPr>
            <w:tcW w:w="1960" w:type="dxa"/>
            <w:tcBorders>
              <w:top w:val="nil"/>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002" w:type="dxa"/>
            <w:gridSpan w:val="5"/>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生息環境の保全・再生・創造</w:t>
            </w:r>
          </w:p>
        </w:tc>
        <w:tc>
          <w:tcPr>
            <w:tcW w:w="1275" w:type="dxa"/>
            <w:gridSpan w:val="3"/>
            <w:shd w:val="clear" w:color="auto" w:fill="auto"/>
          </w:tcPr>
          <w:p w:rsidR="00D7083A" w:rsidRPr="00E75EC4" w:rsidRDefault="00D7083A" w:rsidP="00621E67">
            <w:pPr>
              <w:adjustRightInd w:val="0"/>
              <w:snapToGrid w:val="0"/>
              <w:spacing w:line="280" w:lineRule="exact"/>
              <w:rPr>
                <w:rFonts w:ascii="HG丸ｺﾞｼｯｸM-PRO" w:eastAsia="HG丸ｺﾞｼｯｸM-PRO" w:hAnsi="HG丸ｺﾞｼｯｸM-PRO"/>
                <w:sz w:val="20"/>
                <w:szCs w:val="20"/>
              </w:rPr>
            </w:pP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70"/>
        </w:trPr>
        <w:tc>
          <w:tcPr>
            <w:tcW w:w="1960" w:type="dxa"/>
            <w:vMerge w:val="restart"/>
            <w:tcBorders>
              <w:top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法・条例に基づく緑地や自然環境の保全</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r w:rsidRPr="00E75EC4">
              <w:rPr>
                <w:rFonts w:ascii="HG丸ｺﾞｼｯｸM-PRO" w:eastAsia="HG丸ｺﾞｼｯｸM-PRO" w:hAnsi="HG丸ｺﾞｼｯｸM-PRO" w:hint="eastAsia"/>
                <w:iCs/>
                <w:sz w:val="20"/>
                <w:szCs w:val="20"/>
              </w:rPr>
              <w:t>自然公園法、森林法、大阪府自然環境保全条例、大阪府自然海浜保全地区条例による地域の保全</w:t>
            </w:r>
            <w:r w:rsidRPr="00E75EC4">
              <w:rPr>
                <w:rFonts w:ascii="HG丸ｺﾞｼｯｸM-PRO" w:eastAsia="HG丸ｺﾞｼｯｸM-PRO" w:hAnsi="HG丸ｺﾞｼｯｸM-PRO" w:hint="eastAsia"/>
                <w:sz w:val="20"/>
                <w:szCs w:val="20"/>
              </w:rPr>
              <w:t>）</w:t>
            </w:r>
          </w:p>
        </w:tc>
        <w:tc>
          <w:tcPr>
            <w:tcW w:w="1418" w:type="dxa"/>
            <w:gridSpan w:val="2"/>
            <w:vMerge w:val="restart"/>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自然環境保全指導事業</w:t>
            </w: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指導員による巡視活動の実施</w:t>
            </w:r>
          </w:p>
        </w:tc>
      </w:tr>
      <w:tr w:rsidR="00E75EC4" w:rsidRPr="00E75EC4" w:rsidTr="00AC4C48">
        <w:trPr>
          <w:trHeight w:val="70"/>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735C9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自然海浜保全地区管理事業</w:t>
            </w: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自然海浜（岬町）の清掃等の実施</w:t>
            </w:r>
          </w:p>
        </w:tc>
      </w:tr>
      <w:tr w:rsidR="00E75EC4" w:rsidRPr="00E75EC4" w:rsidTr="00AC4C48">
        <w:trPr>
          <w:trHeight w:val="850"/>
        </w:trPr>
        <w:tc>
          <w:tcPr>
            <w:tcW w:w="1960" w:type="dxa"/>
            <w:vMerge/>
            <w:tcBorders>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735C9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森林保全管理事業</w:t>
            </w: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森林保全員の森林巡視活動及び森林法等に基づく開発行為の規制を通じて、保安林・府営林などの森林や自然環境の保全管理を実施</w:t>
            </w:r>
          </w:p>
        </w:tc>
      </w:tr>
      <w:tr w:rsidR="00E75EC4" w:rsidRPr="00E75EC4" w:rsidTr="00AC4C48">
        <w:trPr>
          <w:trHeight w:val="270"/>
        </w:trPr>
        <w:tc>
          <w:tcPr>
            <w:tcW w:w="1960" w:type="dxa"/>
            <w:tcBorders>
              <w:top w:val="nil"/>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生物多様性に配慮した農空間の保全と活用</w:t>
            </w:r>
          </w:p>
        </w:tc>
        <w:tc>
          <w:tcPr>
            <w:tcW w:w="1418" w:type="dxa"/>
            <w:gridSpan w:val="2"/>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5F3E04">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農空間保全地域制度推進事業</w:t>
            </w:r>
          </w:p>
        </w:tc>
        <w:tc>
          <w:tcPr>
            <w:tcW w:w="8506"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2014～16年度末までの遊休農地解消面積等　３３２．７ha</w:t>
            </w:r>
          </w:p>
        </w:tc>
      </w:tr>
      <w:tr w:rsidR="00E75EC4" w:rsidRPr="00E75EC4" w:rsidTr="00AC4C48">
        <w:trPr>
          <w:trHeight w:val="70"/>
        </w:trPr>
        <w:tc>
          <w:tcPr>
            <w:tcW w:w="1960" w:type="dxa"/>
            <w:vMerge w:val="restart"/>
            <w:tcBorders>
              <w:top w:val="nil"/>
            </w:tcBorders>
            <w:shd w:val="clear" w:color="auto" w:fill="FFFF00"/>
          </w:tcPr>
          <w:p w:rsidR="00D7083A" w:rsidRPr="00EF05F9"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森林整備の推進（針広混交林化の推進）</w:t>
            </w:r>
          </w:p>
        </w:tc>
        <w:tc>
          <w:tcPr>
            <w:tcW w:w="1418" w:type="dxa"/>
            <w:gridSpan w:val="2"/>
            <w:vMerge w:val="restart"/>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放置森林対策事業</w:t>
            </w:r>
          </w:p>
        </w:tc>
        <w:tc>
          <w:tcPr>
            <w:tcW w:w="8506" w:type="dxa"/>
            <w:gridSpan w:val="2"/>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防災上優先度が高い森林について優先的な管理対策を実施</w:t>
            </w:r>
          </w:p>
        </w:tc>
      </w:tr>
      <w:tr w:rsidR="00E75EC4" w:rsidRPr="00E75EC4" w:rsidTr="00AC4C48">
        <w:trPr>
          <w:trHeight w:val="260"/>
        </w:trPr>
        <w:tc>
          <w:tcPr>
            <w:tcW w:w="1960" w:type="dxa"/>
            <w:vMerge/>
            <w:tcBorders>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02818">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アドプトフォレスト</w:t>
            </w:r>
          </w:p>
        </w:tc>
        <w:tc>
          <w:tcPr>
            <w:tcW w:w="8506" w:type="dxa"/>
            <w:gridSpan w:val="2"/>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企業による森林整備</w:t>
            </w:r>
          </w:p>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201６年度末時点で48社・団体が41箇所で活動</w:t>
            </w:r>
          </w:p>
        </w:tc>
      </w:tr>
      <w:tr w:rsidR="00E75EC4" w:rsidRPr="00E75EC4" w:rsidTr="00AC4C48">
        <w:trPr>
          <w:trHeight w:val="270"/>
        </w:trPr>
        <w:tc>
          <w:tcPr>
            <w:tcW w:w="1960" w:type="dxa"/>
            <w:tcBorders>
              <w:top w:val="nil"/>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里山の保全管理の推進（新たな森づくり制度の創設）</w:t>
            </w:r>
          </w:p>
        </w:tc>
        <w:tc>
          <w:tcPr>
            <w:tcW w:w="1418" w:type="dxa"/>
            <w:gridSpan w:val="2"/>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195A21">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森林・山村多面的機能発揮対策事業</w:t>
            </w:r>
          </w:p>
        </w:tc>
        <w:tc>
          <w:tcPr>
            <w:tcW w:w="8506" w:type="dxa"/>
            <w:gridSpan w:val="2"/>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大阪さともり地域協議会への支援を通じた、里山保全活動の促進</w:t>
            </w:r>
          </w:p>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 xml:space="preserve">201６年度　64団体　</w:t>
            </w:r>
            <w:r w:rsidR="00547F33" w:rsidRPr="00E75EC4">
              <w:rPr>
                <w:rFonts w:ascii="HG丸ｺﾞｼｯｸM-PRO" w:eastAsia="HG丸ｺﾞｼｯｸM-PRO" w:hAnsi="HG丸ｺﾞｼｯｸM-PRO" w:hint="eastAsia"/>
                <w:sz w:val="20"/>
                <w:szCs w:val="20"/>
              </w:rPr>
              <w:t>５１０</w:t>
            </w:r>
            <w:r w:rsidRPr="00E75EC4">
              <w:rPr>
                <w:rFonts w:ascii="HG丸ｺﾞｼｯｸM-PRO" w:eastAsia="HG丸ｺﾞｼｯｸM-PRO" w:hAnsi="HG丸ｺﾞｼｯｸM-PRO" w:hint="eastAsia"/>
                <w:sz w:val="20"/>
                <w:szCs w:val="20"/>
              </w:rPr>
              <w:t>haで整備を実施</w:t>
            </w:r>
          </w:p>
        </w:tc>
      </w:tr>
      <w:tr w:rsidR="00E75EC4" w:rsidRPr="00E75EC4" w:rsidTr="00AC4C48">
        <w:trPr>
          <w:trHeight w:val="441"/>
        </w:trPr>
        <w:tc>
          <w:tcPr>
            <w:tcW w:w="1960" w:type="dxa"/>
            <w:vMerge w:val="restart"/>
            <w:tcBorders>
              <w:top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野生生物の適正な保護管理（シカ、イノシシの管理計画の推進）</w:t>
            </w:r>
          </w:p>
        </w:tc>
        <w:tc>
          <w:tcPr>
            <w:tcW w:w="1418" w:type="dxa"/>
            <w:gridSpan w:val="2"/>
            <w:vMerge w:val="restart"/>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大阪府シカ管理計画（第3期：H24～28年度）</w:t>
            </w:r>
          </w:p>
        </w:tc>
        <w:tc>
          <w:tcPr>
            <w:tcW w:w="8506"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シカの捕獲や進入防止柵等の被害対策を総合的に推進し、人とシカの永続的な共存を図る</w:t>
            </w:r>
          </w:p>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捕獲頭数 20１４年度：1,355頭、20１５年度：1,510頭、20１６年度：集計中</w:t>
            </w:r>
          </w:p>
        </w:tc>
      </w:tr>
      <w:tr w:rsidR="00E75EC4" w:rsidRPr="00E75EC4" w:rsidTr="00AC4C48">
        <w:trPr>
          <w:trHeight w:val="255"/>
        </w:trPr>
        <w:tc>
          <w:tcPr>
            <w:tcW w:w="1960" w:type="dxa"/>
            <w:vMerge/>
            <w:tcBorders>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大阪府イノシシ管理計画</w:t>
            </w:r>
          </w:p>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（第2期：H24～28年度）</w:t>
            </w:r>
          </w:p>
        </w:tc>
        <w:tc>
          <w:tcPr>
            <w:tcW w:w="8506"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イノシシの捕獲や進入防止柵の設置等の被害対策を総合的に推進し、人とイノシシの永続的な共存を図る</w:t>
            </w:r>
          </w:p>
          <w:p w:rsidR="00D7083A" w:rsidRPr="00E75EC4" w:rsidRDefault="00D7083A" w:rsidP="00FB3CA5">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捕獲頭数 20１４年度：3,747頭、20１５年度：2,449頭、20１６年度：集計中</w:t>
            </w:r>
          </w:p>
        </w:tc>
      </w:tr>
      <w:tr w:rsidR="00E75EC4" w:rsidRPr="00E75EC4" w:rsidTr="00AC4C48">
        <w:trPr>
          <w:trHeight w:val="270"/>
        </w:trPr>
        <w:tc>
          <w:tcPr>
            <w:tcW w:w="1960" w:type="dxa"/>
            <w:tcBorders>
              <w:top w:val="nil"/>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外来生物対策（アライグマ防除実施計画の推進）</w:t>
            </w:r>
          </w:p>
        </w:tc>
        <w:tc>
          <w:tcPr>
            <w:tcW w:w="1418"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アライグマ防除実施計画</w:t>
            </w:r>
          </w:p>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（第2期：H2３～2７年度）</w:t>
            </w:r>
          </w:p>
          <w:p w:rsidR="00D7083A" w:rsidRPr="00EF05F9"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（第３期：H2８～32年度）</w:t>
            </w:r>
            <w:bookmarkStart w:id="0" w:name="_GoBack"/>
            <w:bookmarkEnd w:id="0"/>
          </w:p>
        </w:tc>
        <w:tc>
          <w:tcPr>
            <w:tcW w:w="8506"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市町村と連携して科学的・計画的な防除を実施</w:t>
            </w:r>
          </w:p>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最終目標はアライグマの野外からの完全排除</w:t>
            </w:r>
          </w:p>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捕獲頭数 20１４年度：1,590頭、20１５年度：1,157頭、20１６年度：1,980頭（暫定値）</w:t>
            </w:r>
          </w:p>
        </w:tc>
      </w:tr>
      <w:tr w:rsidR="00E75EC4" w:rsidRPr="00E75EC4" w:rsidTr="00AC4C48">
        <w:trPr>
          <w:trHeight w:val="1400"/>
        </w:trPr>
        <w:tc>
          <w:tcPr>
            <w:tcW w:w="1960" w:type="dxa"/>
            <w:tcBorders>
              <w:top w:val="nil"/>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285759">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外来生物対策（ブラックバス、ブルーギルの駆除、外来水生植物の駆除）</w:t>
            </w:r>
          </w:p>
        </w:tc>
        <w:tc>
          <w:tcPr>
            <w:tcW w:w="1418" w:type="dxa"/>
            <w:gridSpan w:val="2"/>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イタセンパラ生息環境の保全活動</w:t>
            </w:r>
          </w:p>
        </w:tc>
        <w:tc>
          <w:tcPr>
            <w:tcW w:w="8506"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市民団体、大学、企業、行政などで構成する「淀川水系イタセンパラ保全市民ネットワーク（イタセンネット）」による、イタセンパラの生息場所「ワンド」における特定外来生物ブルーギル、ブラックバス、ナガエツルノゲイトウなどの駆除や外来魚駆除釣り大会等の活動について連携、支援を実施。</w:t>
            </w:r>
          </w:p>
        </w:tc>
      </w:tr>
      <w:tr w:rsidR="00E75EC4" w:rsidRPr="00E75EC4" w:rsidTr="00AC4C48">
        <w:trPr>
          <w:trHeight w:val="283"/>
        </w:trPr>
        <w:tc>
          <w:tcPr>
            <w:tcW w:w="1960" w:type="dxa"/>
            <w:vMerge w:val="restart"/>
            <w:tcBorders>
              <w:top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生物多様性増大、生態系保全に関する調査研究推進</w:t>
            </w:r>
          </w:p>
        </w:tc>
        <w:tc>
          <w:tcPr>
            <w:tcW w:w="1418" w:type="dxa"/>
            <w:gridSpan w:val="2"/>
            <w:vMerge w:val="restart"/>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酸性雨モニタリング土壌植生調査</w:t>
            </w:r>
          </w:p>
        </w:tc>
        <w:tc>
          <w:tcPr>
            <w:tcW w:w="8506"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酸性雨による生態系への影響の早期把握のための植生調査を実施（2014～16）</w:t>
            </w:r>
          </w:p>
        </w:tc>
      </w:tr>
      <w:tr w:rsidR="00E75EC4" w:rsidRPr="00E75EC4" w:rsidTr="00AC4C48">
        <w:trPr>
          <w:trHeight w:val="285"/>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森林資源モニタリング調査</w:t>
            </w:r>
          </w:p>
        </w:tc>
        <w:tc>
          <w:tcPr>
            <w:tcW w:w="8506" w:type="dxa"/>
            <w:gridSpan w:val="2"/>
            <w:shd w:val="clear" w:color="auto" w:fill="auto"/>
          </w:tcPr>
          <w:p w:rsidR="00D7083A" w:rsidRPr="00E75EC4" w:rsidRDefault="00D7083A" w:rsidP="00E61D13">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カシノナガキクイムシによるナラ枯れ被害の発生・被害経過について調査、防除事業を実施（201４）　※H2７以降は、国が直接実施する事業となり、府の関与はなくなった</w:t>
            </w:r>
          </w:p>
        </w:tc>
      </w:tr>
      <w:tr w:rsidR="00E75EC4" w:rsidRPr="00E75EC4" w:rsidTr="00AC4C48">
        <w:trPr>
          <w:trHeight w:val="540"/>
        </w:trPr>
        <w:tc>
          <w:tcPr>
            <w:tcW w:w="1960" w:type="dxa"/>
            <w:vMerge/>
            <w:tcBorders>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大阪府レッドデータブック改定（2013年度）</w:t>
            </w:r>
          </w:p>
        </w:tc>
        <w:tc>
          <w:tcPr>
            <w:tcW w:w="8506" w:type="dxa"/>
            <w:gridSpan w:val="2"/>
            <w:shd w:val="clear" w:color="auto" w:fill="auto"/>
          </w:tcPr>
          <w:p w:rsidR="00D7083A" w:rsidRPr="00E75EC4" w:rsidRDefault="00D7083A" w:rsidP="00E61D13">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 xml:space="preserve">希少種、絶滅危惧種に関する情報を収集して作成　</w:t>
            </w:r>
          </w:p>
          <w:p w:rsidR="00D7083A" w:rsidRPr="00E75EC4" w:rsidRDefault="00D7083A" w:rsidP="00E61D13">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2014年度～2016年度　会議･イベント等で配布</w:t>
            </w:r>
          </w:p>
        </w:tc>
      </w:tr>
      <w:tr w:rsidR="00E75EC4" w:rsidRPr="00E75EC4" w:rsidTr="00AC4C48">
        <w:trPr>
          <w:trHeight w:val="70"/>
        </w:trPr>
        <w:tc>
          <w:tcPr>
            <w:tcW w:w="1960" w:type="dxa"/>
            <w:tcBorders>
              <w:top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12783" w:type="dxa"/>
            <w:gridSpan w:val="10"/>
            <w:shd w:val="clear" w:color="auto" w:fill="auto"/>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E75EC4" w:rsidRPr="00E75EC4" w:rsidTr="00AC4C48">
        <w:trPr>
          <w:trHeight w:val="70"/>
        </w:trPr>
        <w:tc>
          <w:tcPr>
            <w:tcW w:w="1960" w:type="dxa"/>
            <w:vMerge w:val="restart"/>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評価</w:t>
            </w: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評価</w:t>
            </w:r>
          </w:p>
        </w:tc>
        <w:tc>
          <w:tcPr>
            <w:tcW w:w="9214" w:type="dxa"/>
            <w:gridSpan w:val="4"/>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理由等</w:t>
            </w:r>
          </w:p>
        </w:tc>
      </w:tr>
      <w:tr w:rsidR="00E75EC4" w:rsidRPr="00E75EC4" w:rsidTr="00AC4C48">
        <w:trPr>
          <w:trHeight w:val="195"/>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施策目的の達成状況</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順調に推移している</w:t>
            </w:r>
          </w:p>
        </w:tc>
        <w:tc>
          <w:tcPr>
            <w:tcW w:w="9214" w:type="dxa"/>
            <w:gridSpan w:val="4"/>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目標の2,000ha増に対し、</w:t>
            </w:r>
            <w:r w:rsidR="005E5DC9" w:rsidRPr="00E75EC4">
              <w:rPr>
                <w:rFonts w:ascii="HG丸ｺﾞｼｯｸM-PRO" w:eastAsia="HG丸ｺﾞｼｯｸM-PRO" w:hAnsi="HG丸ｺﾞｼｯｸM-PRO" w:hint="eastAsia"/>
                <w:sz w:val="20"/>
                <w:szCs w:val="20"/>
              </w:rPr>
              <w:t>2016</w:t>
            </w:r>
            <w:r w:rsidRPr="00E75EC4">
              <w:rPr>
                <w:rFonts w:ascii="HG丸ｺﾞｼｯｸM-PRO" w:eastAsia="HG丸ｺﾞｼｯｸM-PRO" w:hAnsi="HG丸ｺﾞｼｯｸM-PRO" w:hint="eastAsia"/>
                <w:sz w:val="20"/>
                <w:szCs w:val="20"/>
              </w:rPr>
              <w:t>年度までに</w:t>
            </w:r>
            <w:r w:rsidR="005E5DC9" w:rsidRPr="00E75EC4">
              <w:rPr>
                <w:rFonts w:ascii="HG丸ｺﾞｼｯｸM-PRO" w:eastAsia="HG丸ｺﾞｼｯｸM-PRO" w:hAnsi="HG丸ｺﾞｼｯｸM-PRO" w:hint="eastAsia"/>
                <w:sz w:val="20"/>
                <w:szCs w:val="20"/>
              </w:rPr>
              <w:t>1,922</w:t>
            </w:r>
            <w:r w:rsidRPr="00E75EC4">
              <w:rPr>
                <w:rFonts w:ascii="HG丸ｺﾞｼｯｸM-PRO" w:eastAsia="HG丸ｺﾞｼｯｸM-PRO" w:hAnsi="HG丸ｺﾞｼｯｸM-PRO" w:hint="eastAsia"/>
                <w:sz w:val="20"/>
                <w:szCs w:val="20"/>
              </w:rPr>
              <w:t>haを指定済み</w:t>
            </w:r>
          </w:p>
        </w:tc>
      </w:tr>
      <w:tr w:rsidR="00E75EC4" w:rsidRPr="00E75EC4" w:rsidTr="00AC4C48">
        <w:trPr>
          <w:trHeight w:val="180"/>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事業・工程の進捗状況</w:t>
            </w:r>
          </w:p>
        </w:tc>
        <w:tc>
          <w:tcPr>
            <w:tcW w:w="1985" w:type="dxa"/>
            <w:gridSpan w:val="3"/>
            <w:shd w:val="clear" w:color="auto" w:fill="auto"/>
          </w:tcPr>
          <w:p w:rsidR="00D7083A" w:rsidRPr="00E75EC4" w:rsidRDefault="00D7083A" w:rsidP="008D494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概ね想定どおり進捗している</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195"/>
        </w:trPr>
        <w:tc>
          <w:tcPr>
            <w:tcW w:w="1960" w:type="dxa"/>
            <w:vMerge w:val="restart"/>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計画見直し又は改善事項</w:t>
            </w: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FFFF00"/>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見直し・改善点の有無</w:t>
            </w:r>
          </w:p>
        </w:tc>
        <w:tc>
          <w:tcPr>
            <w:tcW w:w="9214" w:type="dxa"/>
            <w:gridSpan w:val="4"/>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見直し・改善点の内容等</w:t>
            </w:r>
          </w:p>
        </w:tc>
      </w:tr>
      <w:tr w:rsidR="00E75EC4" w:rsidRPr="00E75EC4" w:rsidTr="00AC4C48">
        <w:trPr>
          <w:trHeight w:val="120"/>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目標</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無</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135"/>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施策の方向・主な施策</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無</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165"/>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工程表</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無</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105"/>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C703F4"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その他の改善事項</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無</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関係課室</w:t>
            </w:r>
          </w:p>
        </w:tc>
        <w:tc>
          <w:tcPr>
            <w:tcW w:w="12783" w:type="dxa"/>
            <w:gridSpan w:val="10"/>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みどり推進室、環境管理室、農政室、動物愛護畜産課、教育庁、環農水研、水産課、環境管理室、環境農林水産総務課、府民文化部</w:t>
            </w:r>
          </w:p>
        </w:tc>
      </w:tr>
    </w:tbl>
    <w:p w:rsidR="00946C39" w:rsidRPr="00E75EC4" w:rsidRDefault="00946C39" w:rsidP="00946C39">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75EC4" w:rsidRPr="00E75EC4" w:rsidTr="004F3BF7">
        <w:trPr>
          <w:trHeight w:val="113"/>
        </w:trPr>
        <w:tc>
          <w:tcPr>
            <w:tcW w:w="1496" w:type="dxa"/>
            <w:vMerge w:val="restart"/>
            <w:shd w:val="clear" w:color="auto" w:fill="FFFF00"/>
          </w:tcPr>
          <w:p w:rsidR="00946C39" w:rsidRPr="00E75EC4" w:rsidRDefault="00946C39" w:rsidP="004F3BF7">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946C39" w:rsidRPr="00E75EC4" w:rsidRDefault="00946C39" w:rsidP="004F3BF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946C39" w:rsidRPr="00E75EC4" w:rsidRDefault="00946C39" w:rsidP="004F3BF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評価結果について</w:t>
            </w:r>
          </w:p>
        </w:tc>
        <w:tc>
          <w:tcPr>
            <w:tcW w:w="4581" w:type="dxa"/>
            <w:shd w:val="clear" w:color="auto" w:fill="FFFF00"/>
          </w:tcPr>
          <w:p w:rsidR="00946C39" w:rsidRPr="00E75EC4" w:rsidRDefault="00946C39" w:rsidP="004F3BF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計画の見直し又は改善方針について</w:t>
            </w:r>
          </w:p>
        </w:tc>
      </w:tr>
      <w:tr w:rsidR="00EF05F9" w:rsidRPr="00E75EC4" w:rsidTr="004F3BF7">
        <w:trPr>
          <w:trHeight w:val="750"/>
        </w:trPr>
        <w:tc>
          <w:tcPr>
            <w:tcW w:w="1496" w:type="dxa"/>
            <w:vMerge/>
            <w:shd w:val="clear" w:color="auto" w:fill="FFFF00"/>
          </w:tcPr>
          <w:p w:rsidR="00EF05F9" w:rsidRPr="00E75EC4" w:rsidRDefault="00EF05F9"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EF05F9" w:rsidRDefault="00EF05F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EF05F9" w:rsidRDefault="00EF05F9">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EF05F9" w:rsidRDefault="00EF05F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評価結果は概ね妥当であるが、シカなどの在来野生獣、アライグマ、ブラックバスなどの外来生物などによる生物多様性への悪影響の緩和に向けた努力が必要である。</w:t>
            </w:r>
          </w:p>
        </w:tc>
        <w:tc>
          <w:tcPr>
            <w:tcW w:w="4581" w:type="dxa"/>
            <w:shd w:val="clear" w:color="auto" w:fill="auto"/>
          </w:tcPr>
          <w:p w:rsidR="00EF05F9" w:rsidRDefault="00EF05F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環境省の「重要里地里山500」に大阪府域では22カ所が選定されている。大阪府レッドリスト2014に掲載された生物多様性ホットスポットなどとともに重点的に自然環境保全に取り組むことを検討してほしい。</w:t>
            </w:r>
          </w:p>
        </w:tc>
      </w:tr>
    </w:tbl>
    <w:p w:rsidR="00946C39" w:rsidRPr="00E75EC4" w:rsidRDefault="00946C39" w:rsidP="00946C39">
      <w:pPr>
        <w:adjustRightInd w:val="0"/>
        <w:snapToGrid w:val="0"/>
        <w:spacing w:line="280" w:lineRule="exact"/>
        <w:rPr>
          <w:rFonts w:ascii="HG丸ｺﾞｼｯｸM-PRO" w:eastAsia="HG丸ｺﾞｼｯｸM-PRO" w:hAnsi="HG丸ｺﾞｼｯｸM-PRO"/>
          <w:sz w:val="20"/>
          <w:szCs w:val="20"/>
        </w:rPr>
      </w:pPr>
    </w:p>
    <w:sectPr w:rsidR="00946C39" w:rsidRPr="00E75EC4"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CE" w:rsidRDefault="009B37CE" w:rsidP="00DF093F">
      <w:r>
        <w:separator/>
      </w:r>
    </w:p>
  </w:endnote>
  <w:endnote w:type="continuationSeparator" w:id="0">
    <w:p w:rsidR="009B37CE" w:rsidRDefault="009B37C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29798"/>
      <w:docPartObj>
        <w:docPartGallery w:val="Page Numbers (Bottom of Page)"/>
        <w:docPartUnique/>
      </w:docPartObj>
    </w:sdtPr>
    <w:sdtEndPr/>
    <w:sdtContent>
      <w:p w:rsidR="000038B3" w:rsidRDefault="00DD41F5">
        <w:pPr>
          <w:pStyle w:val="a6"/>
          <w:jc w:val="center"/>
        </w:pPr>
        <w:r>
          <w:fldChar w:fldCharType="begin"/>
        </w:r>
        <w:r w:rsidR="000038B3">
          <w:instrText>PAGE   \* MERGEFORMAT</w:instrText>
        </w:r>
        <w:r>
          <w:fldChar w:fldCharType="separate"/>
        </w:r>
        <w:r w:rsidR="00EF05F9" w:rsidRPr="00EF05F9">
          <w:rPr>
            <w:noProof/>
            <w:lang w:val="ja-JP"/>
          </w:rPr>
          <w:t>2</w:t>
        </w:r>
        <w:r>
          <w:fldChar w:fldCharType="end"/>
        </w:r>
      </w:p>
    </w:sdtContent>
  </w:sdt>
  <w:p w:rsidR="000038B3" w:rsidRDefault="000038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CE" w:rsidRDefault="009B37CE" w:rsidP="00DF093F">
      <w:r>
        <w:separator/>
      </w:r>
    </w:p>
  </w:footnote>
  <w:footnote w:type="continuationSeparator" w:id="0">
    <w:p w:rsidR="009B37CE" w:rsidRDefault="009B37C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38B3"/>
    <w:rsid w:val="000270CC"/>
    <w:rsid w:val="00046A6E"/>
    <w:rsid w:val="00047FF7"/>
    <w:rsid w:val="0007537D"/>
    <w:rsid w:val="00091444"/>
    <w:rsid w:val="000E2AC8"/>
    <w:rsid w:val="000F607F"/>
    <w:rsid w:val="00195A21"/>
    <w:rsid w:val="001A21A7"/>
    <w:rsid w:val="001B5580"/>
    <w:rsid w:val="001E4BC8"/>
    <w:rsid w:val="00216BAB"/>
    <w:rsid w:val="002326FC"/>
    <w:rsid w:val="0024137F"/>
    <w:rsid w:val="00242B57"/>
    <w:rsid w:val="0024769F"/>
    <w:rsid w:val="00250982"/>
    <w:rsid w:val="00252476"/>
    <w:rsid w:val="00261A14"/>
    <w:rsid w:val="002856C5"/>
    <w:rsid w:val="00285759"/>
    <w:rsid w:val="00286AA6"/>
    <w:rsid w:val="002E733E"/>
    <w:rsid w:val="002F10E6"/>
    <w:rsid w:val="003225BC"/>
    <w:rsid w:val="00322A9D"/>
    <w:rsid w:val="00322CF5"/>
    <w:rsid w:val="003259A1"/>
    <w:rsid w:val="00335DFB"/>
    <w:rsid w:val="00336377"/>
    <w:rsid w:val="00337392"/>
    <w:rsid w:val="003424B9"/>
    <w:rsid w:val="003432DE"/>
    <w:rsid w:val="003643C4"/>
    <w:rsid w:val="003732DC"/>
    <w:rsid w:val="00387E08"/>
    <w:rsid w:val="00392F77"/>
    <w:rsid w:val="003F13A4"/>
    <w:rsid w:val="003F1622"/>
    <w:rsid w:val="00423C2C"/>
    <w:rsid w:val="00425F7C"/>
    <w:rsid w:val="0043703E"/>
    <w:rsid w:val="00447C80"/>
    <w:rsid w:val="0047300B"/>
    <w:rsid w:val="004A6C02"/>
    <w:rsid w:val="004E6196"/>
    <w:rsid w:val="004F5B0B"/>
    <w:rsid w:val="00504B74"/>
    <w:rsid w:val="00516BA1"/>
    <w:rsid w:val="00520526"/>
    <w:rsid w:val="00540E2B"/>
    <w:rsid w:val="00547F33"/>
    <w:rsid w:val="005562A9"/>
    <w:rsid w:val="005579A0"/>
    <w:rsid w:val="00563823"/>
    <w:rsid w:val="005D5E69"/>
    <w:rsid w:val="005E5DC9"/>
    <w:rsid w:val="005F3E04"/>
    <w:rsid w:val="00600337"/>
    <w:rsid w:val="00621E67"/>
    <w:rsid w:val="006305BE"/>
    <w:rsid w:val="00655282"/>
    <w:rsid w:val="00680B62"/>
    <w:rsid w:val="006C21CF"/>
    <w:rsid w:val="006C2A62"/>
    <w:rsid w:val="006C65EE"/>
    <w:rsid w:val="006F0C09"/>
    <w:rsid w:val="00735C90"/>
    <w:rsid w:val="00747714"/>
    <w:rsid w:val="00757F84"/>
    <w:rsid w:val="00761907"/>
    <w:rsid w:val="007709F0"/>
    <w:rsid w:val="007C015C"/>
    <w:rsid w:val="007C36DA"/>
    <w:rsid w:val="007D6796"/>
    <w:rsid w:val="00802818"/>
    <w:rsid w:val="008146C1"/>
    <w:rsid w:val="008401B6"/>
    <w:rsid w:val="00843C9D"/>
    <w:rsid w:val="00846325"/>
    <w:rsid w:val="008724CD"/>
    <w:rsid w:val="00885A9E"/>
    <w:rsid w:val="008955B8"/>
    <w:rsid w:val="008B0FEF"/>
    <w:rsid w:val="008B63EF"/>
    <w:rsid w:val="008C3EAD"/>
    <w:rsid w:val="008D494F"/>
    <w:rsid w:val="008E532B"/>
    <w:rsid w:val="008E6390"/>
    <w:rsid w:val="00925BBC"/>
    <w:rsid w:val="00930B97"/>
    <w:rsid w:val="00931E8E"/>
    <w:rsid w:val="00935DED"/>
    <w:rsid w:val="00946C39"/>
    <w:rsid w:val="00966480"/>
    <w:rsid w:val="0099172A"/>
    <w:rsid w:val="009A317C"/>
    <w:rsid w:val="009B37CE"/>
    <w:rsid w:val="00A0206D"/>
    <w:rsid w:val="00A16927"/>
    <w:rsid w:val="00A2565E"/>
    <w:rsid w:val="00A330B3"/>
    <w:rsid w:val="00A33C0E"/>
    <w:rsid w:val="00A75FBC"/>
    <w:rsid w:val="00A9301E"/>
    <w:rsid w:val="00AB4937"/>
    <w:rsid w:val="00AC2ADD"/>
    <w:rsid w:val="00AC4C48"/>
    <w:rsid w:val="00AD65C4"/>
    <w:rsid w:val="00AD6790"/>
    <w:rsid w:val="00AF0716"/>
    <w:rsid w:val="00AF0AE6"/>
    <w:rsid w:val="00AF7529"/>
    <w:rsid w:val="00B7028E"/>
    <w:rsid w:val="00BD135D"/>
    <w:rsid w:val="00C267D5"/>
    <w:rsid w:val="00C31F35"/>
    <w:rsid w:val="00C4727D"/>
    <w:rsid w:val="00C64D1B"/>
    <w:rsid w:val="00C6559F"/>
    <w:rsid w:val="00C703F4"/>
    <w:rsid w:val="00CA215D"/>
    <w:rsid w:val="00CC39A7"/>
    <w:rsid w:val="00CF336A"/>
    <w:rsid w:val="00D16AFE"/>
    <w:rsid w:val="00D4719D"/>
    <w:rsid w:val="00D64FBD"/>
    <w:rsid w:val="00D7083A"/>
    <w:rsid w:val="00D87FE3"/>
    <w:rsid w:val="00D9721E"/>
    <w:rsid w:val="00DA3B33"/>
    <w:rsid w:val="00DB254C"/>
    <w:rsid w:val="00DB35F8"/>
    <w:rsid w:val="00DB3628"/>
    <w:rsid w:val="00DD0C3D"/>
    <w:rsid w:val="00DD41F5"/>
    <w:rsid w:val="00DF093F"/>
    <w:rsid w:val="00E06D37"/>
    <w:rsid w:val="00E07503"/>
    <w:rsid w:val="00E1744F"/>
    <w:rsid w:val="00E36245"/>
    <w:rsid w:val="00E37CD4"/>
    <w:rsid w:val="00E70F05"/>
    <w:rsid w:val="00E75EC4"/>
    <w:rsid w:val="00E95F23"/>
    <w:rsid w:val="00EC22D5"/>
    <w:rsid w:val="00ED0B1E"/>
    <w:rsid w:val="00ED1A47"/>
    <w:rsid w:val="00EF05F9"/>
    <w:rsid w:val="00F43827"/>
    <w:rsid w:val="00F43915"/>
    <w:rsid w:val="00F54E55"/>
    <w:rsid w:val="00F81BF2"/>
    <w:rsid w:val="00F847B2"/>
    <w:rsid w:val="00F87AB6"/>
    <w:rsid w:val="00FB38F4"/>
    <w:rsid w:val="00FB3AD4"/>
    <w:rsid w:val="00FB3CA5"/>
    <w:rsid w:val="00FB738D"/>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 w:type="paragraph" w:styleId="Web">
    <w:name w:val="Normal (Web)"/>
    <w:basedOn w:val="a"/>
    <w:uiPriority w:val="99"/>
    <w:semiHidden/>
    <w:unhideWhenUsed/>
    <w:rsid w:val="00621E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 w:type="paragraph" w:styleId="Web">
    <w:name w:val="Normal (Web)"/>
    <w:basedOn w:val="a"/>
    <w:uiPriority w:val="99"/>
    <w:semiHidden/>
    <w:unhideWhenUsed/>
    <w:rsid w:val="00621E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9556">
      <w:bodyDiv w:val="1"/>
      <w:marLeft w:val="0"/>
      <w:marRight w:val="0"/>
      <w:marTop w:val="0"/>
      <w:marBottom w:val="0"/>
      <w:divBdr>
        <w:top w:val="none" w:sz="0" w:space="0" w:color="auto"/>
        <w:left w:val="none" w:sz="0" w:space="0" w:color="auto"/>
        <w:bottom w:val="none" w:sz="0" w:space="0" w:color="auto"/>
        <w:right w:val="none" w:sz="0" w:space="0" w:color="auto"/>
      </w:divBdr>
    </w:div>
    <w:div w:id="443967093">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878980591">
      <w:bodyDiv w:val="1"/>
      <w:marLeft w:val="0"/>
      <w:marRight w:val="0"/>
      <w:marTop w:val="0"/>
      <w:marBottom w:val="0"/>
      <w:divBdr>
        <w:top w:val="none" w:sz="0" w:space="0" w:color="auto"/>
        <w:left w:val="none" w:sz="0" w:space="0" w:color="auto"/>
        <w:bottom w:val="none" w:sz="0" w:space="0" w:color="auto"/>
        <w:right w:val="none" w:sz="0" w:space="0" w:color="auto"/>
      </w:divBdr>
    </w:div>
    <w:div w:id="1027483905">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0E189D-07A6-4DB0-898E-B796452D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FFB80E-2DED-4491-B5F5-74F8E015F96C}">
  <ds:schemaRefs>
    <ds:schemaRef ds:uri="http://schemas.microsoft.com/sharepoint/v3/contenttype/forms"/>
  </ds:schemaRefs>
</ds:datastoreItem>
</file>

<file path=customXml/itemProps3.xml><?xml version="1.0" encoding="utf-8"?>
<ds:datastoreItem xmlns:ds="http://schemas.openxmlformats.org/officeDocument/2006/customXml" ds:itemID="{2C13E666-7C00-4733-9BD9-F3B5E632EF36}">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90</cp:revision>
  <cp:lastPrinted>2017-08-10T07:44:00Z</cp:lastPrinted>
  <dcterms:created xsi:type="dcterms:W3CDTF">2013-11-11T09:24:00Z</dcterms:created>
  <dcterms:modified xsi:type="dcterms:W3CDTF">2017-08-10T07:44:00Z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