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71" w:rsidRPr="00DC44B4" w:rsidRDefault="006A5171" w:rsidP="006A5171">
      <w:pPr>
        <w:adjustRightInd w:val="0"/>
        <w:snapToGrid w:val="0"/>
        <w:spacing w:line="280" w:lineRule="exact"/>
        <w:jc w:val="center"/>
        <w:rPr>
          <w:rFonts w:ascii="HG丸ｺﾞｼｯｸM-PRO" w:eastAsia="HG丸ｺﾞｼｯｸM-PRO" w:hAnsi="HG丸ｺﾞｼｯｸM-PRO"/>
          <w:b/>
          <w:sz w:val="22"/>
          <w:szCs w:val="20"/>
        </w:rPr>
      </w:pPr>
      <w:r w:rsidRPr="00DC44B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DC44B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DC44B4" w:rsidRPr="00DC44B4" w:rsidTr="00F31CA5">
        <w:tc>
          <w:tcPr>
            <w:tcW w:w="993" w:type="dxa"/>
            <w:tcBorders>
              <w:top w:val="single" w:sz="12" w:space="0" w:color="auto"/>
              <w:left w:val="single" w:sz="12" w:space="0" w:color="auto"/>
              <w:bottom w:val="single" w:sz="12" w:space="0" w:color="auto"/>
            </w:tcBorders>
            <w:shd w:val="clear" w:color="auto" w:fill="FFFF00"/>
          </w:tcPr>
          <w:p w:rsidR="00AB4937" w:rsidRPr="00DC44B4"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DC44B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DC44B4" w:rsidRDefault="00405A7F" w:rsidP="00F31CA5">
            <w:pPr>
              <w:adjustRightInd w:val="0"/>
              <w:snapToGrid w:val="0"/>
              <w:spacing w:line="280" w:lineRule="exact"/>
              <w:rPr>
                <w:rFonts w:ascii="HG丸ｺﾞｼｯｸM-PRO" w:eastAsia="HG丸ｺﾞｼｯｸM-PRO" w:hAnsi="HG丸ｺﾞｼｯｸM-PRO"/>
                <w:b/>
                <w:sz w:val="24"/>
                <w:szCs w:val="20"/>
              </w:rPr>
            </w:pPr>
            <w:r w:rsidRPr="00DC44B4">
              <w:rPr>
                <w:rFonts w:ascii="HG丸ｺﾞｼｯｸM-PRO" w:eastAsia="HG丸ｺﾞｼｯｸM-PRO" w:hAnsi="HG丸ｺﾞｼｯｸM-PRO" w:hint="eastAsia"/>
                <w:b/>
                <w:sz w:val="24"/>
                <w:szCs w:val="20"/>
              </w:rPr>
              <w:t>Ⅱ-2</w:t>
            </w:r>
            <w:r w:rsidR="009F5AC0" w:rsidRPr="00DC44B4">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AB4937" w:rsidRPr="00DC44B4"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DC44B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DC44B4" w:rsidRDefault="007F4CD7" w:rsidP="00F31CA5">
            <w:pPr>
              <w:adjustRightInd w:val="0"/>
              <w:snapToGrid w:val="0"/>
              <w:spacing w:line="280" w:lineRule="exact"/>
              <w:rPr>
                <w:rFonts w:ascii="HG丸ｺﾞｼｯｸM-PRO" w:eastAsia="HG丸ｺﾞｼｯｸM-PRO" w:hAnsi="HG丸ｺﾞｼｯｸM-PRO"/>
                <w:b/>
                <w:sz w:val="24"/>
                <w:szCs w:val="20"/>
              </w:rPr>
            </w:pPr>
            <w:r w:rsidRPr="00DC44B4">
              <w:rPr>
                <w:rFonts w:ascii="HG丸ｺﾞｼｯｸM-PRO" w:eastAsia="HG丸ｺﾞｼｯｸM-PRO" w:hAnsi="HG丸ｺﾞｼｯｸM-PRO" w:hint="eastAsia"/>
                <w:b/>
                <w:sz w:val="24"/>
                <w:szCs w:val="20"/>
              </w:rPr>
              <w:t>14</w:t>
            </w:r>
          </w:p>
        </w:tc>
        <w:tc>
          <w:tcPr>
            <w:tcW w:w="993" w:type="dxa"/>
            <w:tcBorders>
              <w:top w:val="single" w:sz="12" w:space="0" w:color="auto"/>
              <w:bottom w:val="single" w:sz="12" w:space="0" w:color="auto"/>
            </w:tcBorders>
            <w:shd w:val="clear" w:color="auto" w:fill="FFFF00"/>
          </w:tcPr>
          <w:p w:rsidR="00AB4937" w:rsidRPr="00DC44B4"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DC44B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DC44B4" w:rsidRDefault="00B27920" w:rsidP="00F31CA5">
            <w:pPr>
              <w:adjustRightInd w:val="0"/>
              <w:snapToGrid w:val="0"/>
              <w:spacing w:line="280" w:lineRule="exact"/>
              <w:rPr>
                <w:rFonts w:ascii="HG丸ｺﾞｼｯｸM-PRO" w:eastAsia="HG丸ｺﾞｼｯｸM-PRO" w:hAnsi="HG丸ｺﾞｼｯｸM-PRO"/>
                <w:b/>
                <w:sz w:val="24"/>
                <w:szCs w:val="20"/>
              </w:rPr>
            </w:pPr>
            <w:r w:rsidRPr="00DC44B4">
              <w:rPr>
                <w:rFonts w:ascii="HG丸ｺﾞｼｯｸM-PRO" w:eastAsia="HG丸ｺﾞｼｯｸM-PRO" w:hAnsi="HG丸ｺﾞｼｯｸM-PRO" w:hint="eastAsia"/>
                <w:b/>
                <w:sz w:val="24"/>
                <w:szCs w:val="20"/>
              </w:rPr>
              <w:t>廃棄物の適正処理の徹底</w:t>
            </w:r>
          </w:p>
        </w:tc>
      </w:tr>
    </w:tbl>
    <w:p w:rsidR="00AB4937" w:rsidRPr="00DC44B4" w:rsidRDefault="00AB4937" w:rsidP="00AB4937">
      <w:pPr>
        <w:adjustRightInd w:val="0"/>
        <w:snapToGrid w:val="0"/>
        <w:rPr>
          <w:rFonts w:ascii="HG丸ｺﾞｼｯｸM-PRO" w:eastAsia="HG丸ｺﾞｼｯｸM-PRO" w:hAnsi="HG丸ｺﾞｼｯｸM-PRO"/>
          <w:sz w:val="20"/>
          <w:szCs w:val="20"/>
        </w:rPr>
      </w:pPr>
    </w:p>
    <w:tbl>
      <w:tblPr>
        <w:tblW w:w="1468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17"/>
        <w:gridCol w:w="1021"/>
        <w:gridCol w:w="626"/>
        <w:gridCol w:w="82"/>
        <w:gridCol w:w="993"/>
        <w:gridCol w:w="283"/>
        <w:gridCol w:w="367"/>
        <w:gridCol w:w="342"/>
        <w:gridCol w:w="992"/>
        <w:gridCol w:w="3029"/>
        <w:gridCol w:w="4713"/>
      </w:tblGrid>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目的、内容</w:t>
            </w:r>
          </w:p>
        </w:tc>
        <w:tc>
          <w:tcPr>
            <w:tcW w:w="12865" w:type="dxa"/>
            <w:gridSpan w:val="11"/>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trike/>
                <w:sz w:val="20"/>
                <w:szCs w:val="20"/>
              </w:rPr>
            </w:pPr>
            <w:r w:rsidRPr="00DC44B4">
              <w:rPr>
                <w:rFonts w:ascii="HG丸ｺﾞｼｯｸM-PRO" w:eastAsia="HG丸ｺﾞｼｯｸM-PRO" w:hAnsi="HG丸ｺﾞｼｯｸM-PRO" w:hint="eastAsia"/>
                <w:sz w:val="20"/>
                <w:szCs w:val="20"/>
              </w:rPr>
              <w:t>廃棄物の適正処理を徹底する。不適正処理の発生抑制、事案解決に取り組む。</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電子マニフェストの普及に取り組むとともに、優良な処理業者の育成につながる顕彰制度導入等の検討を進める。</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副次的効果、外部効果等</w:t>
            </w:r>
          </w:p>
        </w:tc>
        <w:tc>
          <w:tcPr>
            <w:tcW w:w="12865" w:type="dxa"/>
            <w:gridSpan w:val="11"/>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「健康で安心して暮らせる社会の構築」、「魅力と活力ある快適な地域づくりの推進」に資する。</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関係法令、行政計画等</w:t>
            </w:r>
          </w:p>
        </w:tc>
        <w:tc>
          <w:tcPr>
            <w:tcW w:w="12865" w:type="dxa"/>
            <w:gridSpan w:val="11"/>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循環型社会形成推進基本法、廃棄物の処理及び清掃に関する法律、ポリ塩化ビフェニル</w:t>
            </w:r>
            <w:r w:rsidR="007015F2" w:rsidRPr="00DC44B4">
              <w:rPr>
                <w:rFonts w:ascii="HG丸ｺﾞｼｯｸM-PRO" w:eastAsia="HG丸ｺﾞｼｯｸM-PRO" w:hAnsi="HG丸ｺﾞｼｯｸM-PRO" w:hint="eastAsia"/>
                <w:sz w:val="20"/>
                <w:szCs w:val="20"/>
              </w:rPr>
              <w:t>（PCB）</w:t>
            </w:r>
            <w:r w:rsidRPr="00DC44B4">
              <w:rPr>
                <w:rFonts w:ascii="HG丸ｺﾞｼｯｸM-PRO" w:eastAsia="HG丸ｺﾞｼｯｸM-PRO" w:hAnsi="HG丸ｺﾞｼｯｸM-PRO" w:hint="eastAsia"/>
                <w:sz w:val="20"/>
                <w:szCs w:val="20"/>
              </w:rPr>
              <w:t>廃棄物の適正な処理の推進に関する特別措置法、資源有効利用促進法、各個別リサイクル法、大阪府循環型社会形成推進条例、大阪府放置自動車の適正な処理に関する条例</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大阪府循環型社会推進計画（2016年６月策定、2020年度まで）</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大阪府</w:t>
            </w:r>
            <w:r w:rsidR="007015F2" w:rsidRPr="00DC44B4">
              <w:rPr>
                <w:rFonts w:ascii="HG丸ｺﾞｼｯｸM-PRO" w:eastAsia="HG丸ｺﾞｼｯｸM-PRO" w:hAnsi="HG丸ｺﾞｼｯｸM-PRO" w:hint="eastAsia"/>
                <w:sz w:val="20"/>
                <w:szCs w:val="20"/>
              </w:rPr>
              <w:t>PCB</w:t>
            </w:r>
            <w:r w:rsidRPr="00DC44B4">
              <w:rPr>
                <w:rFonts w:ascii="HG丸ｺﾞｼｯｸM-PRO" w:eastAsia="HG丸ｺﾞｼｯｸM-PRO" w:hAnsi="HG丸ｺﾞｼｯｸM-PRO" w:hint="eastAsia"/>
                <w:sz w:val="20"/>
                <w:szCs w:val="20"/>
              </w:rPr>
              <w:t>廃棄物処理計画（2004年3月策定、2026年度まで）</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国等の政策、社会情勢等</w:t>
            </w:r>
          </w:p>
        </w:tc>
        <w:tc>
          <w:tcPr>
            <w:tcW w:w="12865" w:type="dxa"/>
            <w:gridSpan w:val="11"/>
            <w:shd w:val="clear" w:color="auto" w:fill="auto"/>
          </w:tcPr>
          <w:p w:rsidR="00A908ED" w:rsidRPr="00DC44B4" w:rsidRDefault="00A908ED" w:rsidP="00186B21">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①2011年4月、改正廃棄物処理法が施行された。改正法では、排出事業者の適正処理対策強化、廃棄物処理施設の維持管理対策強化、産業廃棄物処理業の優良化推進、排出抑制の徹底、適正な循環的利用の確保、焼却時の熱利用の促進等が規定された。</w:t>
            </w:r>
          </w:p>
          <w:p w:rsidR="00A908ED" w:rsidRPr="00DC44B4" w:rsidRDefault="00A908ED" w:rsidP="00186B21">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②改正PCB特別措置法（2016年8月施行）により、PCB廃棄物の処理期間は、近畿エリアの高濃度PCB廃棄物が2020（H32）年度末まで、低濃度PCB廃棄物が2026（H38）年度末までとなった。2016（H28）年7月に国においてPCB廃棄物処理基本計画が変更され、PCB廃棄物の確実かつ適正処理を掲げる。</w:t>
            </w:r>
          </w:p>
          <w:p w:rsidR="00A908ED" w:rsidRPr="00DC44B4" w:rsidRDefault="00A908ED" w:rsidP="00FD676C">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③2013年5月、国は「第3次循環型社会形成推進基本計画」を策定。廃棄物の適正処理等を掲げる。</w:t>
            </w:r>
          </w:p>
        </w:tc>
      </w:tr>
      <w:tr w:rsidR="00DC44B4" w:rsidRPr="00DC44B4" w:rsidTr="00CC57B1">
        <w:trPr>
          <w:trHeight w:val="70"/>
        </w:trPr>
        <w:tc>
          <w:tcPr>
            <w:tcW w:w="1823" w:type="dxa"/>
            <w:vMerge w:val="restart"/>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（参考）</w:t>
            </w:r>
          </w:p>
          <w:p w:rsidR="00CC57B1" w:rsidRPr="00DC44B4" w:rsidRDefault="00CC57B1" w:rsidP="00975004">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「講じた施策」に記載した施策事業コスト</w:t>
            </w:r>
          </w:p>
        </w:tc>
        <w:tc>
          <w:tcPr>
            <w:tcW w:w="3789" w:type="dxa"/>
            <w:gridSpan w:val="7"/>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2015年度（決算額）（千円）</w:t>
            </w:r>
          </w:p>
        </w:tc>
        <w:tc>
          <w:tcPr>
            <w:tcW w:w="4713" w:type="dxa"/>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2016年度（決算見込額）（千円）</w:t>
            </w:r>
          </w:p>
        </w:tc>
      </w:tr>
      <w:tr w:rsidR="00DC44B4" w:rsidRPr="00DC44B4" w:rsidTr="00CC57B1">
        <w:trPr>
          <w:trHeight w:val="585"/>
        </w:trPr>
        <w:tc>
          <w:tcPr>
            <w:tcW w:w="1823" w:type="dxa"/>
            <w:vMerge/>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p>
        </w:tc>
        <w:tc>
          <w:tcPr>
            <w:tcW w:w="3789" w:type="dxa"/>
            <w:gridSpan w:val="7"/>
            <w:tcBorders>
              <w:bottom w:val="single" w:sz="4" w:space="0" w:color="auto"/>
              <w:right w:val="single" w:sz="4" w:space="0" w:color="auto"/>
            </w:tcBorders>
            <w:shd w:val="clear" w:color="auto" w:fill="auto"/>
            <w:vAlign w:val="center"/>
          </w:tcPr>
          <w:p w:rsidR="00CC57B1" w:rsidRPr="00DC44B4" w:rsidRDefault="00CC57B1" w:rsidP="00975004">
            <w:pPr>
              <w:adjustRightInd w:val="0"/>
              <w:snapToGrid w:val="0"/>
              <w:jc w:val="right"/>
              <w:rPr>
                <w:rFonts w:ascii="HG丸ｺﾞｼｯｸM-PRO" w:eastAsia="HG丸ｺﾞｼｯｸM-PRO" w:hAnsi="HG丸ｺﾞｼｯｸM-PRO" w:cs="ＭＳ Ｐゴシック"/>
                <w:sz w:val="20"/>
                <w:szCs w:val="20"/>
              </w:rPr>
            </w:pPr>
            <w:r w:rsidRPr="00DC44B4">
              <w:rPr>
                <w:rFonts w:ascii="HG丸ｺﾞｼｯｸM-PRO" w:eastAsia="HG丸ｺﾞｼｯｸM-PRO" w:hAnsi="HG丸ｺﾞｼｯｸM-PRO" w:cs="ＭＳ Ｐゴシック" w:hint="eastAsia"/>
                <w:sz w:val="20"/>
                <w:szCs w:val="20"/>
              </w:rPr>
              <w:t>132,448</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CC57B1" w:rsidRPr="00DC44B4" w:rsidRDefault="00CC57B1" w:rsidP="00975004">
            <w:pPr>
              <w:adjustRightInd w:val="0"/>
              <w:snapToGrid w:val="0"/>
              <w:jc w:val="right"/>
              <w:rPr>
                <w:rFonts w:ascii="HG丸ｺﾞｼｯｸM-PRO" w:eastAsia="HG丸ｺﾞｼｯｸM-PRO" w:hAnsi="HG丸ｺﾞｼｯｸM-PRO" w:cs="ＭＳ Ｐゴシック"/>
                <w:sz w:val="20"/>
                <w:szCs w:val="20"/>
              </w:rPr>
            </w:pPr>
            <w:r w:rsidRPr="00DC44B4">
              <w:rPr>
                <w:rFonts w:ascii="HG丸ｺﾞｼｯｸM-PRO" w:eastAsia="HG丸ｺﾞｼｯｸM-PRO" w:hAnsi="HG丸ｺﾞｼｯｸM-PRO" w:cs="ＭＳ Ｐゴシック" w:hint="eastAsia"/>
                <w:sz w:val="20"/>
                <w:szCs w:val="20"/>
              </w:rPr>
              <w:t>302,783</w:t>
            </w:r>
          </w:p>
        </w:tc>
        <w:tc>
          <w:tcPr>
            <w:tcW w:w="4713" w:type="dxa"/>
            <w:tcBorders>
              <w:left w:val="single" w:sz="4" w:space="0" w:color="auto"/>
              <w:bottom w:val="single" w:sz="4" w:space="0" w:color="auto"/>
            </w:tcBorders>
            <w:shd w:val="clear" w:color="auto" w:fill="auto"/>
            <w:vAlign w:val="center"/>
          </w:tcPr>
          <w:p w:rsidR="00CC57B1" w:rsidRPr="00DC44B4" w:rsidRDefault="00CC57B1" w:rsidP="00916266">
            <w:pPr>
              <w:adjustRightInd w:val="0"/>
              <w:snapToGrid w:val="0"/>
              <w:jc w:val="right"/>
              <w:rPr>
                <w:rFonts w:ascii="HG丸ｺﾞｼｯｸM-PRO" w:eastAsia="HG丸ｺﾞｼｯｸM-PRO" w:hAnsi="HG丸ｺﾞｼｯｸM-PRO" w:cs="ＭＳ Ｐゴシック"/>
                <w:sz w:val="20"/>
                <w:szCs w:val="20"/>
              </w:rPr>
            </w:pPr>
            <w:r w:rsidRPr="00DC44B4">
              <w:rPr>
                <w:rFonts w:ascii="HG丸ｺﾞｼｯｸM-PRO" w:eastAsia="HG丸ｺﾞｼｯｸM-PRO" w:hAnsi="HG丸ｺﾞｼｯｸM-PRO" w:cs="ＭＳ Ｐゴシック" w:hint="eastAsia"/>
                <w:sz w:val="20"/>
                <w:szCs w:val="20"/>
              </w:rPr>
              <w:t>273,67</w:t>
            </w:r>
            <w:r w:rsidR="00916266">
              <w:rPr>
                <w:rFonts w:ascii="HG丸ｺﾞｼｯｸM-PRO" w:eastAsia="HG丸ｺﾞｼｯｸM-PRO" w:hAnsi="HG丸ｺﾞｼｯｸM-PRO" w:cs="ＭＳ Ｐゴシック" w:hint="eastAsia"/>
                <w:sz w:val="20"/>
                <w:szCs w:val="20"/>
              </w:rPr>
              <w:t>7</w:t>
            </w:r>
            <w:bookmarkStart w:id="0" w:name="_GoBack"/>
            <w:bookmarkEnd w:id="0"/>
          </w:p>
        </w:tc>
      </w:tr>
      <w:tr w:rsidR="00DC44B4" w:rsidRPr="00DC44B4" w:rsidTr="00CC57B1">
        <w:trPr>
          <w:trHeight w:val="295"/>
        </w:trPr>
        <w:tc>
          <w:tcPr>
            <w:tcW w:w="1823" w:type="dxa"/>
            <w:vMerge/>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b/>
                <w:sz w:val="20"/>
                <w:szCs w:val="20"/>
              </w:rPr>
            </w:pPr>
          </w:p>
        </w:tc>
        <w:tc>
          <w:tcPr>
            <w:tcW w:w="12865" w:type="dxa"/>
            <w:gridSpan w:val="11"/>
            <w:shd w:val="clear" w:color="auto" w:fill="auto"/>
          </w:tcPr>
          <w:p w:rsidR="00CC57B1" w:rsidRPr="00DC44B4" w:rsidRDefault="00CC57B1"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DC44B4" w:rsidRPr="00DC44B4" w:rsidTr="00CC57B1">
        <w:trPr>
          <w:trHeight w:val="210"/>
        </w:trPr>
        <w:tc>
          <w:tcPr>
            <w:tcW w:w="1823" w:type="dxa"/>
            <w:vMerge w:val="restart"/>
            <w:shd w:val="clear" w:color="auto" w:fill="FFFF00"/>
          </w:tcPr>
          <w:p w:rsidR="00A908ED" w:rsidRPr="00DC44B4" w:rsidRDefault="00A908ED" w:rsidP="00633163">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取組指標及び実績</w:t>
            </w:r>
          </w:p>
          <w:p w:rsidR="00A908ED" w:rsidRPr="00DC44B4" w:rsidRDefault="00A908ED" w:rsidP="00633163">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（施策効果の定量評価）</w:t>
            </w:r>
          </w:p>
        </w:tc>
        <w:tc>
          <w:tcPr>
            <w:tcW w:w="417" w:type="dxa"/>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729" w:type="dxa"/>
            <w:gridSpan w:val="3"/>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名称</w:t>
            </w:r>
          </w:p>
        </w:tc>
        <w:tc>
          <w:tcPr>
            <w:tcW w:w="1985" w:type="dxa"/>
            <w:gridSpan w:val="4"/>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把握方法</w:t>
            </w:r>
          </w:p>
        </w:tc>
        <w:tc>
          <w:tcPr>
            <w:tcW w:w="8734" w:type="dxa"/>
            <w:gridSpan w:val="3"/>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実績</w:t>
            </w:r>
          </w:p>
        </w:tc>
      </w:tr>
      <w:tr w:rsidR="00DC44B4" w:rsidRPr="00DC44B4" w:rsidTr="00CC57B1">
        <w:trPr>
          <w:trHeight w:val="279"/>
        </w:trPr>
        <w:tc>
          <w:tcPr>
            <w:tcW w:w="1823" w:type="dxa"/>
            <w:vMerge/>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p>
        </w:tc>
        <w:tc>
          <w:tcPr>
            <w:tcW w:w="417" w:type="dxa"/>
            <w:shd w:val="clear" w:color="auto" w:fill="auto"/>
          </w:tcPr>
          <w:p w:rsidR="00A908ED" w:rsidRPr="00DC44B4" w:rsidRDefault="00A908ED" w:rsidP="00F31CA5">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①</w:t>
            </w:r>
          </w:p>
        </w:tc>
        <w:tc>
          <w:tcPr>
            <w:tcW w:w="1729" w:type="dxa"/>
            <w:gridSpan w:val="3"/>
            <w:shd w:val="clear" w:color="auto" w:fill="auto"/>
          </w:tcPr>
          <w:p w:rsidR="00A908ED" w:rsidRPr="00DC44B4" w:rsidRDefault="00A908ED" w:rsidP="00F31CA5">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産業廃棄物の不適正処理件数</w:t>
            </w:r>
          </w:p>
        </w:tc>
        <w:tc>
          <w:tcPr>
            <w:tcW w:w="1985" w:type="dxa"/>
            <w:gridSpan w:val="4"/>
            <w:shd w:val="clear" w:color="auto" w:fill="auto"/>
          </w:tcPr>
          <w:p w:rsidR="00A908ED" w:rsidRPr="00DC44B4" w:rsidRDefault="00A908ED" w:rsidP="00F31CA5">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年度内の府所管区域における不適正処理事案の把握件数。</w:t>
            </w:r>
          </w:p>
        </w:tc>
        <w:tc>
          <w:tcPr>
            <w:tcW w:w="8734" w:type="dxa"/>
            <w:gridSpan w:val="3"/>
            <w:shd w:val="clear" w:color="auto" w:fill="auto"/>
          </w:tcPr>
          <w:p w:rsidR="00A908ED" w:rsidRPr="00DC44B4" w:rsidRDefault="00A908ED" w:rsidP="00C304C3">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２６５件うち新規１５２件（201４年度）、２８９件うち新規１４１件（201５年度）、２７８件うち新規１１１件（201６年度）</w:t>
            </w:r>
          </w:p>
          <w:p w:rsidR="00A908ED" w:rsidRPr="00DC44B4" w:rsidRDefault="00A908ED" w:rsidP="00F7528C">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新規事案の発生件数は減少傾向にある。</w:t>
            </w:r>
          </w:p>
        </w:tc>
      </w:tr>
      <w:tr w:rsidR="00DC44B4" w:rsidRPr="00DC44B4" w:rsidTr="00CC57B1">
        <w:trPr>
          <w:trHeight w:val="70"/>
        </w:trPr>
        <w:tc>
          <w:tcPr>
            <w:tcW w:w="1823" w:type="dxa"/>
            <w:vMerge/>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p>
        </w:tc>
        <w:tc>
          <w:tcPr>
            <w:tcW w:w="12865" w:type="dxa"/>
            <w:gridSpan w:val="11"/>
            <w:shd w:val="clear" w:color="auto" w:fill="auto"/>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C44B4" w:rsidRPr="00DC44B4" w:rsidTr="00CC57B1">
        <w:trPr>
          <w:trHeight w:val="240"/>
        </w:trPr>
        <w:tc>
          <w:tcPr>
            <w:tcW w:w="1823" w:type="dxa"/>
            <w:tcBorders>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w w:val="90"/>
                <w:sz w:val="20"/>
                <w:szCs w:val="20"/>
              </w:rPr>
            </w:pPr>
            <w:r w:rsidRPr="00DC44B4">
              <w:rPr>
                <w:rFonts w:ascii="HG丸ｺﾞｼｯｸM-PRO" w:eastAsia="HG丸ｺﾞｼｯｸM-PRO" w:hAnsi="HG丸ｺﾞｼｯｸM-PRO" w:hint="eastAsia"/>
                <w:b/>
                <w:w w:val="90"/>
                <w:sz w:val="20"/>
                <w:szCs w:val="20"/>
              </w:rPr>
              <w:t>工程表の進捗状況</w:t>
            </w:r>
          </w:p>
        </w:tc>
        <w:tc>
          <w:tcPr>
            <w:tcW w:w="2064" w:type="dxa"/>
            <w:gridSpan w:val="3"/>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工程名</w:t>
            </w:r>
          </w:p>
        </w:tc>
        <w:tc>
          <w:tcPr>
            <w:tcW w:w="1358" w:type="dxa"/>
            <w:gridSpan w:val="3"/>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進捗状況</w:t>
            </w:r>
            <w:r w:rsidRPr="00DC44B4">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主な事業の名称</w:t>
            </w:r>
          </w:p>
        </w:tc>
        <w:tc>
          <w:tcPr>
            <w:tcW w:w="7742" w:type="dxa"/>
            <w:gridSpan w:val="2"/>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事業の実施状況</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D73B2">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排出事業者による適正処理の徹底</w:t>
            </w:r>
          </w:p>
        </w:tc>
        <w:tc>
          <w:tcPr>
            <w:tcW w:w="1358"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多量排出事業者制度の評価手法の確立</w:t>
            </w:r>
          </w:p>
        </w:tc>
        <w:tc>
          <w:tcPr>
            <w:tcW w:w="1358"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多量排出事業者制度の推進</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多量排出事業者の産業廃棄物処理計画、実施状況報告書の提出を指導。</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府所管域計画策定事業者数（工場･事業場）：のべ186事業所（2016年度）</w:t>
            </w:r>
          </w:p>
        </w:tc>
      </w:tr>
      <w:tr w:rsidR="00DC44B4" w:rsidRPr="00DC44B4" w:rsidTr="00CC57B1">
        <w:trPr>
          <w:trHeight w:val="17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インターネット等による公表制度の確立</w:t>
            </w:r>
          </w:p>
        </w:tc>
        <w:tc>
          <w:tcPr>
            <w:tcW w:w="1358"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廃棄物処理法に定める多量排出事業者に対し、産業廃棄物の減量などに関する計画書等の作成について指導を行うとともに、提出された計画書等について、順次大阪府ホームページにおいて公開。</w:t>
            </w:r>
          </w:p>
        </w:tc>
      </w:tr>
      <w:tr w:rsidR="00DC44B4" w:rsidRPr="00DC44B4" w:rsidTr="00CC57B1">
        <w:trPr>
          <w:trHeight w:val="21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事業者による減量化や適正処理に向けたPDCAサイクルの確立促進</w:t>
            </w:r>
          </w:p>
        </w:tc>
        <w:tc>
          <w:tcPr>
            <w:tcW w:w="1358"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に対する計画書の公表や処理実績を踏まえた助言等を通じた減量化等の取り組みを促進するとともに、その他の排出事業者へも、マニフェスト交付状況報告書の確認、立入検査等により産廃の減量化・適正処理について指導</w:t>
            </w:r>
          </w:p>
        </w:tc>
      </w:tr>
      <w:tr w:rsidR="00DC44B4" w:rsidRPr="00DC44B4" w:rsidTr="00CC57B1">
        <w:trPr>
          <w:trHeight w:val="607"/>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業界団体と連携した法規制（委託基準、マニフェスト報告等）</w:t>
            </w:r>
            <w:r w:rsidRPr="00DC44B4">
              <w:rPr>
                <w:rFonts w:ascii="HG丸ｺﾞｼｯｸM-PRO" w:eastAsia="HG丸ｺﾞｼｯｸM-PRO" w:hAnsi="HG丸ｺﾞｼｯｸM-PRO" w:hint="eastAsia"/>
                <w:strike/>
                <w:sz w:val="20"/>
                <w:szCs w:val="20"/>
              </w:rPr>
              <w:t>等</w:t>
            </w:r>
            <w:r w:rsidRPr="00DC44B4">
              <w:rPr>
                <w:rFonts w:ascii="HG丸ｺﾞｼｯｸM-PRO" w:eastAsia="HG丸ｺﾞｼｯｸM-PRO" w:hAnsi="HG丸ｺﾞｼｯｸM-PRO" w:hint="eastAsia"/>
                <w:sz w:val="20"/>
                <w:szCs w:val="20"/>
              </w:rPr>
              <w:t>の周知徹底</w:t>
            </w:r>
          </w:p>
        </w:tc>
        <w:tc>
          <w:tcPr>
            <w:tcW w:w="1358" w:type="dxa"/>
            <w:gridSpan w:val="3"/>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産業廃棄物排出事業者向け説明会（出前講座）</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業界団体等と連携した出張説明会の実施。</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2016年度32回実施</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4387E">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優良な処理業者の育成</w:t>
            </w:r>
          </w:p>
        </w:tc>
        <w:tc>
          <w:tcPr>
            <w:tcW w:w="1358"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優良処理業者の顕彰制度の導入等の検討、顕彰の実施</w:t>
            </w:r>
          </w:p>
        </w:tc>
        <w:tc>
          <w:tcPr>
            <w:tcW w:w="1358"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優良産廃処理業者認定制度の運用</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新環境総合計画策定後に施行された廃棄物処理法改正法に基づき、事業の透明性、環境配慮の取り組み、財務体質の健全性など優良基準に適合する産廃処理業者を認定する制度を運用。２０１７年6月時点で253業者を認定</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混合廃棄物の中間処理場での分別、再資源化の徹底</w:t>
            </w:r>
          </w:p>
        </w:tc>
        <w:tc>
          <w:tcPr>
            <w:tcW w:w="1358"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産業廃棄物処理指導監督における指導</w:t>
            </w:r>
          </w:p>
        </w:tc>
        <w:tc>
          <w:tcPr>
            <w:tcW w:w="7742" w:type="dxa"/>
            <w:gridSpan w:val="2"/>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立入検査等において、混合廃棄物の分別・再資源化の徹底を指導。</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4387E">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有害廃棄物の適正処理の徹底</w:t>
            </w:r>
          </w:p>
        </w:tc>
        <w:tc>
          <w:tcPr>
            <w:tcW w:w="1358"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85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PCB廃棄物の適正処理</w:t>
            </w:r>
          </w:p>
          <w:p w:rsidR="00A908ED" w:rsidRPr="00DC44B4" w:rsidRDefault="00A908ED" w:rsidP="006802DB">
            <w:pPr>
              <w:adjustRightInd w:val="0"/>
              <w:snapToGrid w:val="0"/>
              <w:spacing w:line="280" w:lineRule="exact"/>
              <w:rPr>
                <w:rFonts w:ascii="HG丸ｺﾞｼｯｸM-PRO" w:eastAsia="HG丸ｺﾞｼｯｸM-PRO" w:hAnsi="HG丸ｺﾞｼｯｸM-PRO"/>
                <w:strike/>
                <w:sz w:val="20"/>
                <w:szCs w:val="20"/>
              </w:rPr>
            </w:pPr>
          </w:p>
        </w:tc>
        <w:tc>
          <w:tcPr>
            <w:tcW w:w="1358"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kern w:val="0"/>
                <w:sz w:val="20"/>
                <w:szCs w:val="20"/>
              </w:rPr>
            </w:pPr>
            <w:r w:rsidRPr="00DC44B4">
              <w:rPr>
                <w:rFonts w:ascii="HG丸ｺﾞｼｯｸM-PRO" w:eastAsia="HG丸ｺﾞｼｯｸM-PRO" w:hAnsi="HG丸ｺﾞｼｯｸM-PRO" w:hint="eastAsia"/>
                <w:kern w:val="0"/>
                <w:sz w:val="20"/>
                <w:szCs w:val="20"/>
              </w:rPr>
              <w:t>☆☆</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「大阪府PCB廃棄物処理計画」による処理の推進</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高圧機器等処理進捗率： 90%（2016年度末）</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国と共に拠出した基金により中小企業の負担を軽減</w:t>
            </w:r>
          </w:p>
        </w:tc>
      </w:tr>
      <w:tr w:rsidR="00DC44B4" w:rsidRPr="00DC44B4" w:rsidTr="00CC57B1">
        <w:trPr>
          <w:trHeight w:val="85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府保有の安定器等PCB廃棄物の処理</w:t>
            </w:r>
          </w:p>
        </w:tc>
        <w:tc>
          <w:tcPr>
            <w:tcW w:w="1358"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tc>
        <w:tc>
          <w:tcPr>
            <w:tcW w:w="1701"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府保有PCB廃棄物の適正管理及び適正処理</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処分期間内（高濃度PCBは2020（H32）年度末まで）の処分を行うため計画的に処分を実施。</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府保有の小型コンデンサ等の処理　５.３ｔ（2016年度）、6.1ｔ（201５年度）</w:t>
            </w:r>
          </w:p>
        </w:tc>
      </w:tr>
      <w:tr w:rsidR="00DC44B4" w:rsidRPr="00DC44B4" w:rsidTr="00CC57B1">
        <w:trPr>
          <w:trHeight w:val="285"/>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アスベスト廃棄物の適正処理（建築物解体作業等におけるアスベスト廃棄物の適正処理の徹底、円滑な処理体制の確保の点</w:t>
            </w:r>
            <w:r w:rsidRPr="00DC44B4">
              <w:rPr>
                <w:rFonts w:ascii="HG丸ｺﾞｼｯｸM-PRO" w:eastAsia="HG丸ｺﾞｼｯｸM-PRO" w:hAnsi="HG丸ｺﾞｼｯｸM-PRO" w:hint="eastAsia"/>
                <w:sz w:val="20"/>
                <w:szCs w:val="20"/>
              </w:rPr>
              <w:lastRenderedPageBreak/>
              <w:t>検）</w:t>
            </w:r>
          </w:p>
        </w:tc>
        <w:tc>
          <w:tcPr>
            <w:tcW w:w="1358" w:type="dxa"/>
            <w:gridSpan w:val="3"/>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lastRenderedPageBreak/>
              <w:t>☆☆</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産業廃棄物処理指導監督における指導</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建築物解体工事現場に対する指導の実施</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立入検査件数　15件（2014年度</w:t>
            </w:r>
            <w:r w:rsidRPr="00DC44B4">
              <w:rPr>
                <w:rFonts w:ascii="HG丸ｺﾞｼｯｸM-PRO" w:eastAsia="HG丸ｺﾞｼｯｸM-PRO" w:hAnsi="HG丸ｺﾞｼｯｸM-PRO"/>
                <w:sz w:val="20"/>
                <w:szCs w:val="20"/>
              </w:rPr>
              <w:t>）</w:t>
            </w:r>
            <w:r w:rsidRPr="00DC44B4">
              <w:rPr>
                <w:rFonts w:ascii="HG丸ｺﾞｼｯｸM-PRO" w:eastAsia="HG丸ｺﾞｼｯｸM-PRO" w:hAnsi="HG丸ｺﾞｼｯｸM-PRO" w:hint="eastAsia"/>
                <w:sz w:val="20"/>
                <w:szCs w:val="20"/>
              </w:rPr>
              <w:t>、0件（2015年度</w:t>
            </w:r>
            <w:r w:rsidRPr="00DC44B4">
              <w:rPr>
                <w:rFonts w:ascii="HG丸ｺﾞｼｯｸM-PRO" w:eastAsia="HG丸ｺﾞｼｯｸM-PRO" w:hAnsi="HG丸ｺﾞｼｯｸM-PRO"/>
                <w:sz w:val="20"/>
                <w:szCs w:val="20"/>
              </w:rPr>
              <w:t>）</w:t>
            </w:r>
            <w:r w:rsidRPr="00DC44B4">
              <w:rPr>
                <w:rFonts w:ascii="HG丸ｺﾞｼｯｸM-PRO" w:eastAsia="HG丸ｺﾞｼｯｸM-PRO" w:hAnsi="HG丸ｺﾞｼｯｸM-PRO" w:hint="eastAsia"/>
                <w:sz w:val="20"/>
                <w:szCs w:val="20"/>
              </w:rPr>
              <w:t>、30件（2016年度</w:t>
            </w:r>
            <w:r w:rsidRPr="00DC44B4">
              <w:rPr>
                <w:rFonts w:ascii="HG丸ｺﾞｼｯｸM-PRO" w:eastAsia="HG丸ｺﾞｼｯｸM-PRO" w:hAnsi="HG丸ｺﾞｼｯｸM-PRO"/>
                <w:sz w:val="20"/>
                <w:szCs w:val="20"/>
              </w:rPr>
              <w:t>）</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285"/>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D676C">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関係団体連携による感染性廃棄物の適正処理の徹底</w:t>
            </w:r>
          </w:p>
        </w:tc>
        <w:tc>
          <w:tcPr>
            <w:tcW w:w="1358" w:type="dxa"/>
            <w:gridSpan w:val="3"/>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産業廃棄物排出事業者向け説明会（出前講座）</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医師会等と連携した感染性廃棄物適正処理に関する説明会の実施。</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2014年度3回、2015年度1回実施</w:t>
            </w:r>
          </w:p>
        </w:tc>
      </w:tr>
      <w:tr w:rsidR="00DC44B4" w:rsidRPr="00DC44B4" w:rsidTr="00CC57B1">
        <w:trPr>
          <w:trHeight w:val="870"/>
        </w:trPr>
        <w:tc>
          <w:tcPr>
            <w:tcW w:w="1823" w:type="dxa"/>
            <w:vMerge w:val="restart"/>
            <w:tcBorders>
              <w:top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vMerge w:val="restart"/>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vMerge w:val="restart"/>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焼却施設におけるダイオキシン類対策</w:t>
            </w:r>
          </w:p>
        </w:tc>
        <w:tc>
          <w:tcPr>
            <w:tcW w:w="1358" w:type="dxa"/>
            <w:gridSpan w:val="3"/>
            <w:vMerge w:val="restart"/>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一般廃棄物処理指導監督における指導</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市町村等の一般廃棄物焼却施設への立入検査の実施</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立入検査件数　２２件（２０１４年度）、２２件（２０１５年度）、２２件（２０１６年度）</w:t>
            </w:r>
          </w:p>
          <w:p w:rsidR="00A908ED" w:rsidRPr="00DC44B4" w:rsidRDefault="00A908ED" w:rsidP="00765651">
            <w:pPr>
              <w:adjustRightInd w:val="0"/>
              <w:snapToGrid w:val="0"/>
              <w:spacing w:line="280" w:lineRule="exact"/>
              <w:rPr>
                <w:rFonts w:ascii="HG丸ｺﾞｼｯｸM-PRO" w:eastAsia="HG丸ｺﾞｼｯｸM-PRO" w:hAnsi="HG丸ｺﾞｼｯｸM-PRO"/>
                <w:strike/>
                <w:sz w:val="20"/>
                <w:szCs w:val="20"/>
              </w:rPr>
            </w:pPr>
            <w:r w:rsidRPr="00DC44B4">
              <w:rPr>
                <w:rFonts w:ascii="HG丸ｺﾞｼｯｸM-PRO" w:eastAsia="HG丸ｺﾞｼｯｸM-PRO" w:hAnsi="HG丸ｺﾞｼｯｸM-PRO" w:hint="eastAsia"/>
                <w:sz w:val="20"/>
                <w:szCs w:val="20"/>
              </w:rPr>
              <w:t>事業所指導課分：立入検査件数　1件（2014年度）、0件（2015年度）、5件（2016年度）</w:t>
            </w:r>
          </w:p>
        </w:tc>
      </w:tr>
      <w:tr w:rsidR="00DC44B4" w:rsidRPr="00DC44B4" w:rsidTr="00CC57B1">
        <w:trPr>
          <w:trHeight w:val="515"/>
        </w:trPr>
        <w:tc>
          <w:tcPr>
            <w:tcW w:w="1823" w:type="dxa"/>
            <w:vMerge/>
            <w:tcBorders>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vMerge/>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vMerge/>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358" w:type="dxa"/>
            <w:gridSpan w:val="3"/>
            <w:vMerge/>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産業廃棄物処理指導監督における指導</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焼却施設を有する事業者に対する指導の実施</w:t>
            </w:r>
          </w:p>
          <w:p w:rsidR="00A908ED" w:rsidRPr="00DC44B4" w:rsidRDefault="00A908ED" w:rsidP="00F7528C">
            <w:pPr>
              <w:adjustRightInd w:val="0"/>
              <w:snapToGrid w:val="0"/>
              <w:spacing w:line="280" w:lineRule="exact"/>
              <w:rPr>
                <w:rFonts w:ascii="HG丸ｺﾞｼｯｸM-PRO" w:eastAsia="HG丸ｺﾞｼｯｸM-PRO" w:hAnsi="HG丸ｺﾞｼｯｸM-PRO"/>
                <w:strike/>
                <w:sz w:val="20"/>
                <w:szCs w:val="20"/>
              </w:rPr>
            </w:pPr>
            <w:r w:rsidRPr="00DC44B4">
              <w:rPr>
                <w:rFonts w:ascii="HG丸ｺﾞｼｯｸM-PRO" w:eastAsia="HG丸ｺﾞｼｯｸM-PRO" w:hAnsi="HG丸ｺﾞｼｯｸM-PRO" w:hint="eastAsia"/>
                <w:sz w:val="20"/>
                <w:szCs w:val="20"/>
              </w:rPr>
              <w:t>立入検査件数　18件（2014年度）、13件（2015年度）、5件（2016年度）</w:t>
            </w:r>
          </w:p>
        </w:tc>
      </w:tr>
      <w:tr w:rsidR="00DC44B4" w:rsidRPr="00DC44B4" w:rsidTr="00CC57B1">
        <w:trPr>
          <w:trHeight w:val="200"/>
        </w:trPr>
        <w:tc>
          <w:tcPr>
            <w:tcW w:w="1823" w:type="dxa"/>
            <w:vMerge w:val="restart"/>
            <w:tcBorders>
              <w:top w:val="nil"/>
            </w:tcBorders>
            <w:shd w:val="clear" w:color="auto" w:fill="FFFF00"/>
          </w:tcPr>
          <w:p w:rsidR="00A908ED" w:rsidRPr="00DC44B4" w:rsidRDefault="00A908ED" w:rsidP="0044387E">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vMerge w:val="restart"/>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不適正処理の未然防止、警察と連携等による迅速な解決</w:t>
            </w:r>
          </w:p>
        </w:tc>
        <w:tc>
          <w:tcPr>
            <w:tcW w:w="1358" w:type="dxa"/>
            <w:gridSpan w:val="3"/>
            <w:vMerge w:val="restart"/>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9339C1">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監視体制強化事業</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警察と連携した監視パトロールによる不適正処理の発見と是正指導（201６年度の立入検査等の件数：１，２７９件）</w:t>
            </w:r>
          </w:p>
        </w:tc>
      </w:tr>
      <w:tr w:rsidR="00DC44B4" w:rsidRPr="00DC44B4" w:rsidTr="00CC57B1">
        <w:trPr>
          <w:trHeight w:val="120"/>
        </w:trPr>
        <w:tc>
          <w:tcPr>
            <w:tcW w:w="1823" w:type="dxa"/>
            <w:vMerge/>
            <w:tcBorders>
              <w:bottom w:val="nil"/>
            </w:tcBorders>
            <w:shd w:val="clear" w:color="auto" w:fill="FFFF00"/>
          </w:tcPr>
          <w:p w:rsidR="00A908ED" w:rsidRPr="00DC44B4" w:rsidRDefault="00A908ED" w:rsidP="0044387E">
            <w:pPr>
              <w:adjustRightInd w:val="0"/>
              <w:snapToGrid w:val="0"/>
              <w:spacing w:line="280" w:lineRule="exact"/>
              <w:jc w:val="right"/>
              <w:rPr>
                <w:rFonts w:ascii="HG丸ｺﾞｼｯｸM-PRO" w:eastAsia="HG丸ｺﾞｼｯｸM-PRO" w:hAnsi="HG丸ｺﾞｼｯｸM-PRO"/>
                <w:sz w:val="20"/>
                <w:szCs w:val="20"/>
              </w:rPr>
            </w:pPr>
          </w:p>
        </w:tc>
        <w:tc>
          <w:tcPr>
            <w:tcW w:w="2064" w:type="dxa"/>
            <w:gridSpan w:val="3"/>
            <w:vMerge/>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358" w:type="dxa"/>
            <w:gridSpan w:val="3"/>
            <w:vMerge/>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9339C1">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放置自動車対策推進事業</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条例に基づき府所有・管理地の放置自動車について所有者等への撤去を指導し、撤去されない場合に府が撤去を行った。府域の放置自動車確認件数及び自主撤去率は</w:t>
            </w:r>
          </w:p>
          <w:p w:rsidR="00A908ED" w:rsidRPr="00DC44B4" w:rsidRDefault="00A908ED" w:rsidP="00F7528C">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 xml:space="preserve">　26年度 323台（自主撤去率44％）、27年度 315台（自主撤去率58％）</w:t>
            </w:r>
          </w:p>
          <w:p w:rsidR="00A908ED" w:rsidRPr="00DC44B4" w:rsidRDefault="00A908ED" w:rsidP="00F7528C">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確認件数が統計上最多であった平成13年度の8,138台（自主撤去率19％）に比べると大幅に改善している。</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E97B79">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[最終処分]</w:t>
            </w:r>
          </w:p>
        </w:tc>
        <w:tc>
          <w:tcPr>
            <w:tcW w:w="2064"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最終処分量の大幅な低減と最終処分場の安定的な確保（次期広域処分場確保に向けた検討・調整、安定的な確保）</w:t>
            </w:r>
          </w:p>
        </w:tc>
        <w:tc>
          <w:tcPr>
            <w:tcW w:w="1358"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広域廃棄物処分場整備促進</w:t>
            </w:r>
          </w:p>
        </w:tc>
        <w:tc>
          <w:tcPr>
            <w:tcW w:w="7742" w:type="dxa"/>
            <w:gridSpan w:val="2"/>
            <w:shd w:val="clear" w:color="auto" w:fill="auto"/>
          </w:tcPr>
          <w:p w:rsidR="00A908ED" w:rsidRPr="00DC44B4" w:rsidRDefault="00A908ED" w:rsidP="00443182">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広域臨海環境整備センター法」に基づき、フェニックスセンター及び関係地方公共団体と連携し、大阪湾圏域広域処理場整備事業（フェニックス計画）を推進（2013年度から、次期計画の具体化を目指して検討している。）</w:t>
            </w:r>
          </w:p>
        </w:tc>
      </w:tr>
      <w:tr w:rsidR="00DC44B4" w:rsidRPr="00DC44B4" w:rsidTr="00CC57B1">
        <w:trPr>
          <w:trHeight w:val="70"/>
        </w:trPr>
        <w:tc>
          <w:tcPr>
            <w:tcW w:w="1823" w:type="dxa"/>
            <w:tcBorders>
              <w:top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p>
        </w:tc>
        <w:tc>
          <w:tcPr>
            <w:tcW w:w="12865" w:type="dxa"/>
            <w:gridSpan w:val="11"/>
            <w:shd w:val="clear" w:color="auto" w:fill="auto"/>
          </w:tcPr>
          <w:p w:rsidR="00A908ED" w:rsidRPr="00DC44B4" w:rsidRDefault="00A908ED" w:rsidP="00443182">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DC44B4" w:rsidRPr="00DC44B4" w:rsidTr="00CC57B1">
        <w:trPr>
          <w:trHeight w:val="70"/>
        </w:trPr>
        <w:tc>
          <w:tcPr>
            <w:tcW w:w="1823" w:type="dxa"/>
            <w:vMerge w:val="restart"/>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評価</w:t>
            </w: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評価</w:t>
            </w:r>
          </w:p>
        </w:tc>
        <w:tc>
          <w:tcPr>
            <w:tcW w:w="9726" w:type="dxa"/>
            <w:gridSpan w:val="6"/>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理由等</w:t>
            </w:r>
          </w:p>
        </w:tc>
      </w:tr>
      <w:tr w:rsidR="00DC44B4" w:rsidRPr="00DC44B4" w:rsidTr="00CC57B1">
        <w:trPr>
          <w:trHeight w:val="195"/>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施策目的の達成状況</w:t>
            </w:r>
          </w:p>
        </w:tc>
        <w:tc>
          <w:tcPr>
            <w:tcW w:w="1701" w:type="dxa"/>
            <w:gridSpan w:val="3"/>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一部は計画以下の進捗</w:t>
            </w:r>
          </w:p>
        </w:tc>
        <w:tc>
          <w:tcPr>
            <w:tcW w:w="9726" w:type="dxa"/>
            <w:gridSpan w:val="6"/>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不適正処理の新規事案の発生件数は減少傾向にある。また、事案数はほぼ横ばいである。</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一方、新規事案の解決率は、事案の質的変化等により低下している(H26：70%、H27：６６％、H28：３８％)。</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原因は、</w:t>
            </w:r>
          </w:p>
          <w:p w:rsidR="00A908ED" w:rsidRPr="00DC44B4" w:rsidRDefault="00A908ED" w:rsidP="00E6209B">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・近年、短期的に解決が可能な野焼きの比率が減少している一方で、長期化しがちな野積みや埋立事案が相対的に増加していること。</w:t>
            </w:r>
          </w:p>
          <w:p w:rsidR="00A908ED" w:rsidRPr="00DC44B4" w:rsidRDefault="00A908ED" w:rsidP="00E6209B">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・組織的かつ巧妙な不適正処理を行う行為者が増えつつあること。</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等が挙げられる。</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立入検査やパトロールを充実させるとともに、調査対象を広げるなど、より高度な監視指導手法を導入し、対応を図っている。</w:t>
            </w:r>
          </w:p>
        </w:tc>
      </w:tr>
      <w:tr w:rsidR="00DC44B4" w:rsidRPr="00DC44B4" w:rsidTr="00CC57B1">
        <w:trPr>
          <w:trHeight w:val="180"/>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事業・工程の進捗状況</w:t>
            </w:r>
          </w:p>
        </w:tc>
        <w:tc>
          <w:tcPr>
            <w:tcW w:w="1701" w:type="dxa"/>
            <w:gridSpan w:val="3"/>
            <w:shd w:val="clear" w:color="auto" w:fill="auto"/>
          </w:tcPr>
          <w:p w:rsidR="00A908ED" w:rsidRPr="00DC44B4" w:rsidRDefault="00A908ED" w:rsidP="001C3F2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概ね想定どおりの進捗だが、一部は計画とは異なる事業内容で進捗</w:t>
            </w:r>
          </w:p>
        </w:tc>
        <w:tc>
          <w:tcPr>
            <w:tcW w:w="9726" w:type="dxa"/>
            <w:gridSpan w:val="6"/>
            <w:shd w:val="clear" w:color="auto" w:fill="auto"/>
          </w:tcPr>
          <w:p w:rsidR="00A908ED" w:rsidRPr="00DC44B4" w:rsidRDefault="00A908ED" w:rsidP="001C3F28">
            <w:pPr>
              <w:autoSpaceDE w:val="0"/>
              <w:autoSpaceDN w:val="0"/>
              <w:adjustRightInd w:val="0"/>
              <w:snapToGrid w:val="0"/>
              <w:jc w:val="lef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排出事業者が紙マニフェストについて交付等状況報告を毎年度行うことにより、マニフェスト交付排出事業者の処理状況を把握し、事業所への指導を行っており、施策目的達成に向け順調に取り組んでいる。</w:t>
            </w:r>
          </w:p>
          <w:p w:rsidR="00A908ED" w:rsidRPr="00DC44B4" w:rsidRDefault="00A908ED" w:rsidP="001C3F28">
            <w:pPr>
              <w:autoSpaceDE w:val="0"/>
              <w:autoSpaceDN w:val="0"/>
              <w:adjustRightInd w:val="0"/>
              <w:snapToGrid w:val="0"/>
              <w:jc w:val="lef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2015年度から安定器等の処理がJESCO北九州事業所で始まるなど、PCB廃棄物の処理が進んでいる。府保有のPCB廃棄物の処理が計画的に進んでいる。</w:t>
            </w:r>
          </w:p>
        </w:tc>
      </w:tr>
      <w:tr w:rsidR="00DC44B4" w:rsidRPr="00DC44B4" w:rsidTr="00CC57B1">
        <w:trPr>
          <w:trHeight w:val="195"/>
        </w:trPr>
        <w:tc>
          <w:tcPr>
            <w:tcW w:w="1823" w:type="dxa"/>
            <w:vMerge w:val="restart"/>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計画見直し又は改善事項</w:t>
            </w: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見直し・改善点の有無</w:t>
            </w:r>
          </w:p>
        </w:tc>
        <w:tc>
          <w:tcPr>
            <w:tcW w:w="9726" w:type="dxa"/>
            <w:gridSpan w:val="6"/>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見直し・改善点の内容等</w:t>
            </w:r>
          </w:p>
        </w:tc>
      </w:tr>
      <w:tr w:rsidR="00DC44B4" w:rsidRPr="00DC44B4" w:rsidTr="00CC57B1">
        <w:trPr>
          <w:trHeight w:val="120"/>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目標</w:t>
            </w: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無</w:t>
            </w:r>
          </w:p>
        </w:tc>
        <w:tc>
          <w:tcPr>
            <w:tcW w:w="9726" w:type="dxa"/>
            <w:gridSpan w:val="6"/>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1202"/>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施策の方向・主な施策</w:t>
            </w: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無</w:t>
            </w:r>
          </w:p>
        </w:tc>
        <w:tc>
          <w:tcPr>
            <w:tcW w:w="9726" w:type="dxa"/>
            <w:gridSpan w:val="6"/>
            <w:shd w:val="clear" w:color="auto" w:fill="auto"/>
          </w:tcPr>
          <w:p w:rsidR="00A908ED" w:rsidRPr="00DC44B4" w:rsidRDefault="00A908ED" w:rsidP="00F43A58">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165"/>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工程表</w:t>
            </w: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無</w:t>
            </w:r>
          </w:p>
        </w:tc>
        <w:tc>
          <w:tcPr>
            <w:tcW w:w="9726" w:type="dxa"/>
            <w:gridSpan w:val="6"/>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105"/>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その他の改善事項</w:t>
            </w:r>
          </w:p>
        </w:tc>
        <w:tc>
          <w:tcPr>
            <w:tcW w:w="1701" w:type="dxa"/>
            <w:gridSpan w:val="3"/>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有</w:t>
            </w:r>
          </w:p>
        </w:tc>
        <w:tc>
          <w:tcPr>
            <w:tcW w:w="9726" w:type="dxa"/>
            <w:gridSpan w:val="6"/>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組織的かつ巧妙な不適正処理への対応には時間を要するが、解決に至った場合には、業界内等への抑止効果が大きいことから、これらの事案に対応する監視指導手法の効率化・迅速化に重点的に取り組むとともに、新規事案については年度ごとに指標を定めて解決を図る。</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関係課室</w:t>
            </w:r>
          </w:p>
        </w:tc>
        <w:tc>
          <w:tcPr>
            <w:tcW w:w="12865" w:type="dxa"/>
            <w:gridSpan w:val="11"/>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循環型社会推進室、環境管理室</w:t>
            </w:r>
          </w:p>
        </w:tc>
      </w:tr>
    </w:tbl>
    <w:p w:rsidR="00405A7F" w:rsidRPr="00DC44B4" w:rsidRDefault="00405A7F" w:rsidP="00405A7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3860"/>
        <w:gridCol w:w="5006"/>
      </w:tblGrid>
      <w:tr w:rsidR="00DC44B4" w:rsidRPr="00DC44B4" w:rsidTr="00103CA1">
        <w:trPr>
          <w:trHeight w:val="113"/>
        </w:trPr>
        <w:tc>
          <w:tcPr>
            <w:tcW w:w="1496" w:type="dxa"/>
            <w:vMerge w:val="restart"/>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点検評価手法の適正さについて</w:t>
            </w:r>
          </w:p>
        </w:tc>
        <w:tc>
          <w:tcPr>
            <w:tcW w:w="3860" w:type="dxa"/>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評価結果について</w:t>
            </w:r>
          </w:p>
        </w:tc>
        <w:tc>
          <w:tcPr>
            <w:tcW w:w="5006" w:type="dxa"/>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計画の見直し又は改善方針について</w:t>
            </w:r>
          </w:p>
        </w:tc>
      </w:tr>
      <w:tr w:rsidR="003B31AC" w:rsidRPr="00DC44B4" w:rsidTr="00103CA1">
        <w:trPr>
          <w:trHeight w:val="750"/>
        </w:trPr>
        <w:tc>
          <w:tcPr>
            <w:tcW w:w="1496" w:type="dxa"/>
            <w:vMerge/>
            <w:shd w:val="clear" w:color="auto" w:fill="FFFF00"/>
          </w:tcPr>
          <w:p w:rsidR="003B31AC" w:rsidRPr="00DC44B4" w:rsidRDefault="003B31AC"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3B31AC" w:rsidRPr="003B31AC" w:rsidRDefault="003B31AC" w:rsidP="00D7513D">
            <w:pPr>
              <w:adjustRightInd w:val="0"/>
              <w:snapToGrid w:val="0"/>
              <w:rPr>
                <w:rFonts w:ascii="HG丸ｺﾞｼｯｸM-PRO" w:eastAsia="HG丸ｺﾞｼｯｸM-PRO" w:hAnsi="HG丸ｺﾞｼｯｸM-PRO"/>
                <w:sz w:val="20"/>
                <w:szCs w:val="20"/>
              </w:rPr>
            </w:pPr>
            <w:r w:rsidRPr="003B31AC">
              <w:rPr>
                <w:rFonts w:ascii="HG丸ｺﾞｼｯｸM-PRO" w:eastAsia="HG丸ｺﾞｼｯｸM-PRO" w:hAnsi="HG丸ｺﾞｼｯｸM-PRO" w:hint="eastAsia"/>
                <w:sz w:val="20"/>
                <w:szCs w:val="20"/>
              </w:rPr>
              <w:t>おおむね妥当と判断するが、２０１４～２０１６年の評価であるにもかかわらず、３年間の数値が記載されていない項目がある。可能な限り、実績としての定量的な数値を示していただけるように</w:t>
            </w:r>
            <w:r w:rsidR="00386FF6">
              <w:rPr>
                <w:rFonts w:ascii="HG丸ｺﾞｼｯｸM-PRO" w:eastAsia="HG丸ｺﾞｼｯｸM-PRO" w:hAnsi="HG丸ｺﾞｼｯｸM-PRO" w:hint="eastAsia"/>
                <w:sz w:val="20"/>
                <w:szCs w:val="20"/>
              </w:rPr>
              <w:t>工夫いただきたい。また、項目によって、西暦での標記と年号での標記</w:t>
            </w:r>
            <w:r w:rsidRPr="003B31AC">
              <w:rPr>
                <w:rFonts w:ascii="HG丸ｺﾞｼｯｸM-PRO" w:eastAsia="HG丸ｺﾞｼｯｸM-PRO" w:hAnsi="HG丸ｺﾞｼｯｸM-PRO" w:hint="eastAsia"/>
                <w:sz w:val="20"/>
                <w:szCs w:val="20"/>
              </w:rPr>
              <w:t>が混在している。</w:t>
            </w:r>
          </w:p>
        </w:tc>
        <w:tc>
          <w:tcPr>
            <w:tcW w:w="3860" w:type="dxa"/>
            <w:shd w:val="clear" w:color="auto" w:fill="auto"/>
          </w:tcPr>
          <w:p w:rsidR="003B31AC" w:rsidRPr="003B31AC" w:rsidRDefault="003B31AC" w:rsidP="00D7513D">
            <w:pPr>
              <w:adjustRightInd w:val="0"/>
              <w:snapToGrid w:val="0"/>
              <w:rPr>
                <w:rFonts w:ascii="HG丸ｺﾞｼｯｸM-PRO" w:eastAsia="HG丸ｺﾞｼｯｸM-PRO" w:hAnsi="HG丸ｺﾞｼｯｸM-PRO"/>
                <w:sz w:val="20"/>
                <w:szCs w:val="20"/>
              </w:rPr>
            </w:pPr>
            <w:r w:rsidRPr="003B31AC">
              <w:rPr>
                <w:rFonts w:ascii="HG丸ｺﾞｼｯｸM-PRO" w:eastAsia="HG丸ｺﾞｼｯｸM-PRO" w:hAnsi="HG丸ｺﾞｼｯｸM-PRO" w:hint="eastAsia"/>
                <w:sz w:val="20"/>
                <w:szCs w:val="20"/>
              </w:rPr>
              <w:t>おおむね妥当であると判断するが、不適正処理事案の「解決率」といった新規の評価項目が説明もなく表示されていることや、毎年の新規以外の項目は未解決の案件と判断するのか、丁寧な説明を希望する。</w:t>
            </w:r>
          </w:p>
        </w:tc>
        <w:tc>
          <w:tcPr>
            <w:tcW w:w="5006" w:type="dxa"/>
            <w:shd w:val="clear" w:color="auto" w:fill="auto"/>
          </w:tcPr>
          <w:p w:rsidR="003B31AC" w:rsidRPr="003B31AC" w:rsidRDefault="003B31AC" w:rsidP="00D7513D">
            <w:pPr>
              <w:widowControl/>
              <w:adjustRightInd w:val="0"/>
              <w:snapToGrid w:val="0"/>
              <w:jc w:val="left"/>
              <w:rPr>
                <w:rFonts w:ascii="HG丸ｺﾞｼｯｸM-PRO" w:eastAsia="HG丸ｺﾞｼｯｸM-PRO" w:hAnsi="HG丸ｺﾞｼｯｸM-PRO"/>
                <w:sz w:val="20"/>
                <w:szCs w:val="20"/>
              </w:rPr>
            </w:pPr>
            <w:r w:rsidRPr="003B31AC">
              <w:rPr>
                <w:rFonts w:ascii="HG丸ｺﾞｼｯｸM-PRO" w:eastAsia="HG丸ｺﾞｼｯｸM-PRO" w:hAnsi="HG丸ｺﾞｼｯｸM-PRO" w:hint="eastAsia"/>
                <w:sz w:val="20"/>
                <w:szCs w:val="20"/>
              </w:rPr>
              <w:t>不適正処理事案のうち解決事例については、その経緯も含めて、可能な限り公開することでさらなる抑止効果が働くように工夫いただきたい。</w:t>
            </w:r>
          </w:p>
        </w:tc>
      </w:tr>
    </w:tbl>
    <w:p w:rsidR="00405A7F" w:rsidRPr="00DC44B4" w:rsidRDefault="00405A7F" w:rsidP="00405A7F">
      <w:pPr>
        <w:adjustRightInd w:val="0"/>
        <w:snapToGrid w:val="0"/>
        <w:spacing w:line="280" w:lineRule="exact"/>
        <w:rPr>
          <w:rFonts w:ascii="HG丸ｺﾞｼｯｸM-PRO" w:eastAsia="HG丸ｺﾞｼｯｸM-PRO" w:hAnsi="HG丸ｺﾞｼｯｸM-PRO"/>
          <w:sz w:val="20"/>
          <w:szCs w:val="20"/>
        </w:rPr>
      </w:pPr>
    </w:p>
    <w:p w:rsidR="001A07B1" w:rsidRPr="00DC44B4" w:rsidRDefault="001A07B1" w:rsidP="00405A7F">
      <w:pPr>
        <w:adjustRightInd w:val="0"/>
        <w:snapToGrid w:val="0"/>
        <w:spacing w:line="280" w:lineRule="exact"/>
        <w:rPr>
          <w:rFonts w:ascii="HG丸ｺﾞｼｯｸM-PRO" w:eastAsia="HG丸ｺﾞｼｯｸM-PRO" w:hAnsi="HG丸ｺﾞｼｯｸM-PRO"/>
          <w:sz w:val="20"/>
          <w:szCs w:val="20"/>
        </w:rPr>
      </w:pPr>
    </w:p>
    <w:sectPr w:rsidR="001A07B1" w:rsidRPr="00DC44B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FE" w:rsidRDefault="004B4FFE" w:rsidP="00DF093F">
      <w:r>
        <w:separator/>
      </w:r>
    </w:p>
  </w:endnote>
  <w:endnote w:type="continuationSeparator" w:id="0">
    <w:p w:rsidR="004B4FFE" w:rsidRDefault="004B4FF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11145"/>
      <w:docPartObj>
        <w:docPartGallery w:val="Page Numbers (Bottom of Page)"/>
        <w:docPartUnique/>
      </w:docPartObj>
    </w:sdtPr>
    <w:sdtEndPr/>
    <w:sdtContent>
      <w:p w:rsidR="00731DC8" w:rsidRDefault="00D806F4">
        <w:pPr>
          <w:pStyle w:val="a6"/>
          <w:jc w:val="center"/>
        </w:pPr>
        <w:r>
          <w:fldChar w:fldCharType="begin"/>
        </w:r>
        <w:r w:rsidR="00731DC8">
          <w:instrText>PAGE   \* MERGEFORMAT</w:instrText>
        </w:r>
        <w:r>
          <w:fldChar w:fldCharType="separate"/>
        </w:r>
        <w:r w:rsidR="00916266" w:rsidRPr="00916266">
          <w:rPr>
            <w:noProof/>
            <w:lang w:val="ja-JP"/>
          </w:rPr>
          <w:t>1</w:t>
        </w:r>
        <w:r>
          <w:fldChar w:fldCharType="end"/>
        </w:r>
      </w:p>
    </w:sdtContent>
  </w:sdt>
  <w:p w:rsidR="00731DC8" w:rsidRDefault="00731D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FE" w:rsidRDefault="004B4FFE" w:rsidP="00DF093F">
      <w:r>
        <w:separator/>
      </w:r>
    </w:p>
  </w:footnote>
  <w:footnote w:type="continuationSeparator" w:id="0">
    <w:p w:rsidR="004B4FFE" w:rsidRDefault="004B4FF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B0F3F"/>
    <w:rsid w:val="000E2AC8"/>
    <w:rsid w:val="00103CA1"/>
    <w:rsid w:val="00122DAF"/>
    <w:rsid w:val="00162637"/>
    <w:rsid w:val="00186B21"/>
    <w:rsid w:val="001921F1"/>
    <w:rsid w:val="001A07B1"/>
    <w:rsid w:val="001A21A7"/>
    <w:rsid w:val="001C3F28"/>
    <w:rsid w:val="001E5420"/>
    <w:rsid w:val="0020047C"/>
    <w:rsid w:val="00216BAB"/>
    <w:rsid w:val="002326FC"/>
    <w:rsid w:val="0024137F"/>
    <w:rsid w:val="0024769F"/>
    <w:rsid w:val="00250982"/>
    <w:rsid w:val="00261A14"/>
    <w:rsid w:val="00286AA6"/>
    <w:rsid w:val="002F10E6"/>
    <w:rsid w:val="00322A9D"/>
    <w:rsid w:val="00322CF5"/>
    <w:rsid w:val="003259A1"/>
    <w:rsid w:val="00335DFB"/>
    <w:rsid w:val="00336377"/>
    <w:rsid w:val="003643C4"/>
    <w:rsid w:val="00372035"/>
    <w:rsid w:val="003732DC"/>
    <w:rsid w:val="00386FF6"/>
    <w:rsid w:val="00391D20"/>
    <w:rsid w:val="00392F77"/>
    <w:rsid w:val="003B31AC"/>
    <w:rsid w:val="003B60A9"/>
    <w:rsid w:val="003D26F2"/>
    <w:rsid w:val="003F40CF"/>
    <w:rsid w:val="00405A7F"/>
    <w:rsid w:val="00443182"/>
    <w:rsid w:val="0044387E"/>
    <w:rsid w:val="00451D04"/>
    <w:rsid w:val="0047300B"/>
    <w:rsid w:val="004A6C02"/>
    <w:rsid w:val="004B4FFE"/>
    <w:rsid w:val="004D30D8"/>
    <w:rsid w:val="004D73B2"/>
    <w:rsid w:val="004E6196"/>
    <w:rsid w:val="00505C36"/>
    <w:rsid w:val="00516BA1"/>
    <w:rsid w:val="00540E2B"/>
    <w:rsid w:val="005562A9"/>
    <w:rsid w:val="005579A0"/>
    <w:rsid w:val="00563823"/>
    <w:rsid w:val="00575D00"/>
    <w:rsid w:val="005A39F5"/>
    <w:rsid w:val="005E6BF5"/>
    <w:rsid w:val="005E7B3F"/>
    <w:rsid w:val="006305BE"/>
    <w:rsid w:val="00633163"/>
    <w:rsid w:val="00655282"/>
    <w:rsid w:val="006675F0"/>
    <w:rsid w:val="006858C2"/>
    <w:rsid w:val="006A5171"/>
    <w:rsid w:val="006C65EE"/>
    <w:rsid w:val="006F0C09"/>
    <w:rsid w:val="007015F2"/>
    <w:rsid w:val="00731DC8"/>
    <w:rsid w:val="00747714"/>
    <w:rsid w:val="00765651"/>
    <w:rsid w:val="007709F0"/>
    <w:rsid w:val="007B07DD"/>
    <w:rsid w:val="007C015C"/>
    <w:rsid w:val="007F4CD7"/>
    <w:rsid w:val="00812884"/>
    <w:rsid w:val="008146C1"/>
    <w:rsid w:val="008401B6"/>
    <w:rsid w:val="00843C9D"/>
    <w:rsid w:val="00846325"/>
    <w:rsid w:val="008516D6"/>
    <w:rsid w:val="0088155B"/>
    <w:rsid w:val="008B2FB0"/>
    <w:rsid w:val="008B63EF"/>
    <w:rsid w:val="008F4EAD"/>
    <w:rsid w:val="00916266"/>
    <w:rsid w:val="00925BBC"/>
    <w:rsid w:val="00930382"/>
    <w:rsid w:val="0093189F"/>
    <w:rsid w:val="009339C1"/>
    <w:rsid w:val="00966480"/>
    <w:rsid w:val="0099172A"/>
    <w:rsid w:val="009A0FA2"/>
    <w:rsid w:val="009B0CAE"/>
    <w:rsid w:val="009D3BC1"/>
    <w:rsid w:val="009F5AC0"/>
    <w:rsid w:val="00A0206D"/>
    <w:rsid w:val="00A16927"/>
    <w:rsid w:val="00A2565E"/>
    <w:rsid w:val="00A46807"/>
    <w:rsid w:val="00A77030"/>
    <w:rsid w:val="00A908ED"/>
    <w:rsid w:val="00AB4937"/>
    <w:rsid w:val="00AC2ADD"/>
    <w:rsid w:val="00AC7F43"/>
    <w:rsid w:val="00AF0AE6"/>
    <w:rsid w:val="00AF7529"/>
    <w:rsid w:val="00B27920"/>
    <w:rsid w:val="00BA35DD"/>
    <w:rsid w:val="00C267D5"/>
    <w:rsid w:val="00C304C3"/>
    <w:rsid w:val="00C4727D"/>
    <w:rsid w:val="00C64D1B"/>
    <w:rsid w:val="00CA1D46"/>
    <w:rsid w:val="00CA215D"/>
    <w:rsid w:val="00CC39A7"/>
    <w:rsid w:val="00CC57B1"/>
    <w:rsid w:val="00CF336A"/>
    <w:rsid w:val="00CF5673"/>
    <w:rsid w:val="00D4719D"/>
    <w:rsid w:val="00D64FBD"/>
    <w:rsid w:val="00D732DB"/>
    <w:rsid w:val="00D806F4"/>
    <w:rsid w:val="00D85C4C"/>
    <w:rsid w:val="00DA3B33"/>
    <w:rsid w:val="00DB3628"/>
    <w:rsid w:val="00DC44B4"/>
    <w:rsid w:val="00DF093F"/>
    <w:rsid w:val="00E07503"/>
    <w:rsid w:val="00E1744F"/>
    <w:rsid w:val="00E36245"/>
    <w:rsid w:val="00E53DDD"/>
    <w:rsid w:val="00E70F05"/>
    <w:rsid w:val="00E7708B"/>
    <w:rsid w:val="00E95F23"/>
    <w:rsid w:val="00E97B79"/>
    <w:rsid w:val="00EA2978"/>
    <w:rsid w:val="00EC22D5"/>
    <w:rsid w:val="00ED1A47"/>
    <w:rsid w:val="00F31CA5"/>
    <w:rsid w:val="00F43827"/>
    <w:rsid w:val="00F54E55"/>
    <w:rsid w:val="00F7528C"/>
    <w:rsid w:val="00F81BF2"/>
    <w:rsid w:val="00F8310C"/>
    <w:rsid w:val="00F847B2"/>
    <w:rsid w:val="00F87AB6"/>
    <w:rsid w:val="00F977FA"/>
    <w:rsid w:val="00FB3AD4"/>
    <w:rsid w:val="00FC667B"/>
    <w:rsid w:val="00FD247D"/>
    <w:rsid w:val="00FD676C"/>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10784502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0552D-E7ED-497E-AC94-1B896687C96F}">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58DEF52-79E6-4E14-B77C-5959ECCE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A80D00-336E-40E7-9C25-1AD0CF42E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86</cp:revision>
  <cp:lastPrinted>2017-07-18T03:57:00Z</cp:lastPrinted>
  <dcterms:created xsi:type="dcterms:W3CDTF">2013-11-11T09:24:00Z</dcterms:created>
  <dcterms:modified xsi:type="dcterms:W3CDTF">2017-08-24T04:24:00Z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