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21606" w:type="dxa"/>
        <w:tblInd w:w="99" w:type="dxa"/>
        <w:tblLayout w:type="fixed"/>
        <w:tblCellMar>
          <w:left w:w="99" w:type="dxa"/>
          <w:right w:w="99" w:type="dxa"/>
        </w:tblCellMar>
        <w:tblLook w:val="04A0" w:firstRow="1" w:lastRow="0" w:firstColumn="1" w:lastColumn="0" w:noHBand="0" w:noVBand="1"/>
      </w:tblPr>
      <w:tblGrid>
        <w:gridCol w:w="5662"/>
        <w:gridCol w:w="1707"/>
        <w:gridCol w:w="3122"/>
        <w:gridCol w:w="3621"/>
        <w:gridCol w:w="1314"/>
        <w:gridCol w:w="6171"/>
        <w:gridCol w:w="9"/>
      </w:tblGrid>
      <w:tr w:rsidR="00B4322F" w:rsidTr="000E4EE5">
        <w:trPr>
          <w:trHeight w:val="3670"/>
        </w:trPr>
        <w:tc>
          <w:tcPr>
            <w:tcW w:w="7371" w:type="dxa"/>
            <w:gridSpan w:val="2"/>
            <w:tcBorders>
              <w:top w:val="single" w:sz="4" w:space="0" w:color="auto"/>
              <w:left w:val="single" w:sz="4" w:space="0" w:color="auto"/>
              <w:right w:val="single" w:sz="4" w:space="0" w:color="auto"/>
            </w:tcBorders>
          </w:tcPr>
          <w:p w:rsidR="00B4322F" w:rsidRDefault="00B4322F" w:rsidP="004B444B">
            <w:pPr>
              <w:rPr>
                <w:rFonts w:asciiTheme="majorEastAsia" w:eastAsiaTheme="majorEastAsia" w:hAnsiTheme="majorEastAsia"/>
                <w:sz w:val="28"/>
                <w:szCs w:val="28"/>
              </w:rPr>
            </w:pPr>
            <w:r w:rsidRPr="00C031B5">
              <w:rPr>
                <w:rFonts w:hint="eastAsia"/>
                <w:b/>
                <w:noProof/>
                <w:sz w:val="32"/>
              </w:rPr>
              <mc:AlternateContent>
                <mc:Choice Requires="wps">
                  <w:drawing>
                    <wp:anchor distT="0" distB="0" distL="114300" distR="114300" simplePos="0" relativeHeight="251699200" behindDoc="0" locked="0" layoutInCell="1" allowOverlap="1" wp14:anchorId="69054897" wp14:editId="0ABEA5B2">
                      <wp:simplePos x="0" y="0"/>
                      <wp:positionH relativeFrom="column">
                        <wp:posOffset>292083</wp:posOffset>
                      </wp:positionH>
                      <wp:positionV relativeFrom="paragraph">
                        <wp:posOffset>-439849</wp:posOffset>
                      </wp:positionV>
                      <wp:extent cx="11368216" cy="396000"/>
                      <wp:effectExtent l="0" t="0" r="5080" b="4445"/>
                      <wp:wrapNone/>
                      <wp:docPr id="6" name="正方形/長方形 6"/>
                      <wp:cNvGraphicFramePr/>
                      <a:graphic xmlns:a="http://schemas.openxmlformats.org/drawingml/2006/main">
                        <a:graphicData uri="http://schemas.microsoft.com/office/word/2010/wordprocessingShape">
                          <wps:wsp>
                            <wps:cNvSpPr/>
                            <wps:spPr>
                              <a:xfrm>
                                <a:off x="0" y="0"/>
                                <a:ext cx="11368216" cy="39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322F" w:rsidRPr="00383244" w:rsidRDefault="008A3FBB" w:rsidP="00A15A93">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kern w:val="0"/>
                                      <w:sz w:val="36"/>
                                      <w:szCs w:val="36"/>
                                    </w:rPr>
                                    <w:t>（</w:t>
                                  </w:r>
                                  <w:r w:rsidR="00B4322F">
                                    <w:rPr>
                                      <w:rFonts w:asciiTheme="majorEastAsia" w:eastAsiaTheme="majorEastAsia" w:hAnsiTheme="majorEastAsia" w:hint="eastAsia"/>
                                      <w:b/>
                                      <w:color w:val="FFFFFF" w:themeColor="background1"/>
                                      <w:sz w:val="36"/>
                                      <w:szCs w:val="36"/>
                                    </w:rPr>
                                    <w:t>河川BOD</w:t>
                                  </w:r>
                                  <w:r w:rsidR="007962EC">
                                    <w:rPr>
                                      <w:rFonts w:asciiTheme="majorEastAsia" w:eastAsiaTheme="majorEastAsia" w:hAnsiTheme="majorEastAsia" w:hint="eastAsia"/>
                                      <w:b/>
                                      <w:color w:val="FFFFFF" w:themeColor="background1"/>
                                      <w:sz w:val="36"/>
                                      <w:szCs w:val="36"/>
                                    </w:rPr>
                                    <w:t>のさらなる改善</w:t>
                                  </w:r>
                                  <w:r>
                                    <w:rPr>
                                      <w:rFonts w:asciiTheme="majorEastAsia" w:eastAsiaTheme="majorEastAsia" w:hAnsiTheme="majorEastAsia" w:hint="eastAsia"/>
                                      <w:b/>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3pt;margin-top:-34.65pt;width:895.15pt;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" fillcolor="#4f81bd [3204]" stroked="f" strokeweight="2pt">
                      <v:textbox>
                        <w:txbxContent>
                          <w:p w:rsidR="00B4322F" w:rsidRPr="00383244" w:rsidRDefault="008A3FBB" w:rsidP="00A15A93">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kern w:val="0"/>
                                <w:sz w:val="36"/>
                                <w:szCs w:val="36"/>
                              </w:rPr>
                              <w:t>（</w:t>
                            </w:r>
                            <w:r w:rsidR="00B4322F">
                              <w:rPr>
                                <w:rFonts w:asciiTheme="majorEastAsia" w:eastAsiaTheme="majorEastAsia" w:hAnsiTheme="majorEastAsia" w:hint="eastAsia"/>
                                <w:b/>
                                <w:color w:val="FFFFFF" w:themeColor="background1"/>
                                <w:sz w:val="36"/>
                                <w:szCs w:val="36"/>
                              </w:rPr>
                              <w:t>河川BOD</w:t>
                            </w:r>
                            <w:r w:rsidR="007962EC">
                              <w:rPr>
                                <w:rFonts w:asciiTheme="majorEastAsia" w:eastAsiaTheme="majorEastAsia" w:hAnsiTheme="majorEastAsia" w:hint="eastAsia"/>
                                <w:b/>
                                <w:color w:val="FFFFFF" w:themeColor="background1"/>
                                <w:sz w:val="36"/>
                                <w:szCs w:val="36"/>
                              </w:rPr>
                              <w:t>のさらなる改善</w:t>
                            </w:r>
                            <w:r>
                              <w:rPr>
                                <w:rFonts w:asciiTheme="majorEastAsia" w:eastAsiaTheme="majorEastAsia" w:hAnsiTheme="majorEastAsia" w:hint="eastAsia"/>
                                <w:b/>
                                <w:color w:val="FFFFFF" w:themeColor="background1"/>
                                <w:sz w:val="36"/>
                                <w:szCs w:val="36"/>
                              </w:rPr>
                              <w:t>）</w:t>
                            </w:r>
                          </w:p>
                        </w:txbxContent>
                      </v:textbox>
                    </v:rect>
                  </w:pict>
                </mc:Fallback>
              </mc:AlternateContent>
            </w:r>
            <w:r w:rsidRPr="00070F21">
              <w:rPr>
                <w:rFonts w:asciiTheme="majorEastAsia" w:eastAsiaTheme="majorEastAsia" w:hAnsiTheme="majorEastAsia" w:hint="eastAsia"/>
                <w:sz w:val="28"/>
                <w:szCs w:val="28"/>
              </w:rPr>
              <w:t>目標：2020年</w:t>
            </w:r>
          </w:p>
          <w:p w:rsidR="00AC5EA6" w:rsidRDefault="00AC5EA6" w:rsidP="004B444B">
            <w:pPr>
              <w:snapToGrid w:val="0"/>
              <w:ind w:left="281" w:hangingChars="100" w:hanging="281"/>
              <w:rPr>
                <w:rFonts w:asciiTheme="majorEastAsia" w:eastAsiaTheme="majorEastAsia" w:hAnsiTheme="majorEastAsia"/>
                <w:b/>
                <w:sz w:val="28"/>
                <w:szCs w:val="28"/>
              </w:rPr>
            </w:pPr>
          </w:p>
          <w:p w:rsidR="00B4322F" w:rsidRDefault="00B4322F" w:rsidP="004B444B">
            <w:pPr>
              <w:snapToGrid w:val="0"/>
              <w:ind w:left="281" w:hangingChars="100" w:hanging="281"/>
              <w:rPr>
                <w:rFonts w:ascii="ＭＳ ゴシック" w:eastAsia="ＭＳ ゴシック" w:hAnsi="ＭＳ ゴシック"/>
                <w:b/>
                <w:sz w:val="28"/>
                <w:szCs w:val="36"/>
              </w:rPr>
            </w:pPr>
            <w:r w:rsidRPr="008A6383">
              <w:rPr>
                <w:rFonts w:asciiTheme="majorEastAsia" w:eastAsiaTheme="majorEastAsia" w:hAnsiTheme="majorEastAsia" w:hint="eastAsia"/>
                <w:b/>
                <w:sz w:val="28"/>
                <w:szCs w:val="28"/>
              </w:rPr>
              <w:t>『</w:t>
            </w:r>
            <w:r w:rsidRPr="00D15740">
              <w:rPr>
                <w:rFonts w:ascii="ＭＳ ゴシック" w:eastAsia="ＭＳ ゴシック" w:hAnsi="ＭＳ ゴシック" w:hint="eastAsia"/>
                <w:b/>
                <w:sz w:val="28"/>
                <w:szCs w:val="36"/>
              </w:rPr>
              <w:t>人と水がふれあえ、水道水源となりうる水質を目指し、</w:t>
            </w:r>
          </w:p>
          <w:p w:rsidR="00B4322F" w:rsidRDefault="00B4322F" w:rsidP="004B444B">
            <w:pPr>
              <w:snapToGrid w:val="0"/>
              <w:ind w:leftChars="100" w:left="210"/>
              <w:rPr>
                <w:rFonts w:asciiTheme="majorEastAsia" w:eastAsiaTheme="majorEastAsia" w:hAnsiTheme="majorEastAsia"/>
                <w:b/>
                <w:sz w:val="28"/>
                <w:szCs w:val="28"/>
              </w:rPr>
            </w:pPr>
            <w:r w:rsidRPr="00D15740">
              <w:rPr>
                <w:rFonts w:ascii="ＭＳ ゴシック" w:eastAsia="ＭＳ ゴシック" w:hAnsi="ＭＳ ゴシック" w:hint="eastAsia"/>
                <w:b/>
                <w:sz w:val="28"/>
                <w:szCs w:val="36"/>
              </w:rPr>
              <w:t>水環境をさら</w:t>
            </w:r>
            <w:r w:rsidRPr="00070F21">
              <w:rPr>
                <w:rFonts w:asciiTheme="majorEastAsia" w:eastAsiaTheme="majorEastAsia" w:hAnsiTheme="majorEastAsia" w:hint="eastAsia"/>
                <w:b/>
                <w:sz w:val="28"/>
                <w:szCs w:val="28"/>
              </w:rPr>
              <w:t>に改善する』</w:t>
            </w:r>
          </w:p>
          <w:p w:rsidR="00AC5EA6" w:rsidRDefault="00AC5EA6" w:rsidP="004B444B">
            <w:pPr>
              <w:snapToGrid w:val="0"/>
              <w:ind w:leftChars="100" w:left="210"/>
              <w:rPr>
                <w:rFonts w:asciiTheme="majorEastAsia" w:eastAsiaTheme="majorEastAsia" w:hAnsiTheme="majorEastAsia"/>
                <w:b/>
                <w:sz w:val="28"/>
                <w:szCs w:val="28"/>
              </w:rPr>
            </w:pPr>
          </w:p>
          <w:p w:rsidR="00B4322F" w:rsidRPr="00B4322F" w:rsidRDefault="00B4322F" w:rsidP="004B444B">
            <w:pPr>
              <w:ind w:leftChars="100" w:left="210"/>
            </w:pPr>
            <w:r w:rsidRPr="002A26EF">
              <w:rPr>
                <w:rFonts w:ascii="ＭＳ ゴシック" w:eastAsia="ＭＳ ゴシック" w:hAnsi="ＭＳ ゴシック" w:hint="eastAsia"/>
                <w:sz w:val="24"/>
                <w:u w:val="single"/>
              </w:rPr>
              <w:t>BOD（生物化学的酸素要求量）3mg/L以下（環境保全目標のB類型）を満たす河川の割合を８割にする。</w:t>
            </w:r>
          </w:p>
        </w:tc>
        <w:tc>
          <w:tcPr>
            <w:tcW w:w="6746" w:type="dxa"/>
            <w:gridSpan w:val="2"/>
            <w:tcBorders>
              <w:top w:val="single" w:sz="4" w:space="0" w:color="auto"/>
              <w:left w:val="single" w:sz="4" w:space="0" w:color="auto"/>
              <w:right w:val="single" w:sz="4" w:space="0" w:color="FFFFFF" w:themeColor="background1"/>
            </w:tcBorders>
          </w:tcPr>
          <w:p w:rsidR="00B4322F" w:rsidRPr="00B4322F" w:rsidRDefault="00B4322F" w:rsidP="004B444B">
            <w:pPr>
              <w:snapToGrid w:val="0"/>
              <w:rPr>
                <w:rFonts w:ascii="HGPｺﾞｼｯｸE" w:eastAsia="HGPｺﾞｼｯｸE" w:hAnsi="HGPｺﾞｼｯｸE"/>
                <w:b/>
                <w:sz w:val="16"/>
                <w:u w:val="single"/>
              </w:rPr>
            </w:pPr>
          </w:p>
          <w:p w:rsidR="00B4322F" w:rsidRPr="00B37AA2" w:rsidRDefault="00B4322F" w:rsidP="00B37AA2">
            <w:pPr>
              <w:snapToGrid w:val="0"/>
              <w:ind w:firstLineChars="100" w:firstLine="281"/>
              <w:rPr>
                <w:rFonts w:ascii="HGPｺﾞｼｯｸE" w:eastAsia="HGPｺﾞｼｯｸE" w:hAnsi="HGPｺﾞｼｯｸE"/>
                <w:b/>
                <w:sz w:val="28"/>
                <w:u w:val="single"/>
              </w:rPr>
            </w:pPr>
            <w:r w:rsidRPr="00B37AA2">
              <w:rPr>
                <w:rFonts w:ascii="HGPｺﾞｼｯｸE" w:eastAsia="HGPｺﾞｼｯｸE" w:hAnsi="HGPｺﾞｼｯｸE" w:hint="eastAsia"/>
                <w:b/>
                <w:sz w:val="28"/>
                <w:u w:val="single"/>
              </w:rPr>
              <w:t>現状</w:t>
            </w:r>
          </w:p>
          <w:p w:rsidR="00B4322F" w:rsidRPr="002F5B3D" w:rsidRDefault="00B4322F" w:rsidP="00C25831">
            <w:pPr>
              <w:tabs>
                <w:tab w:val="left" w:pos="10348"/>
              </w:tabs>
              <w:ind w:leftChars="100" w:left="210" w:rightChars="68" w:right="143" w:firstLineChars="100" w:firstLine="240"/>
              <w:rPr>
                <w:rFonts w:asciiTheme="minorEastAsia" w:hAnsiTheme="minorEastAsia"/>
                <w:color w:val="000000" w:themeColor="text1"/>
                <w:sz w:val="24"/>
                <w:szCs w:val="24"/>
              </w:rPr>
            </w:pPr>
            <w:r w:rsidRPr="00D560AB">
              <w:rPr>
                <w:rFonts w:asciiTheme="minorEastAsia" w:hAnsiTheme="minorEastAsia" w:hint="eastAsia"/>
                <w:sz w:val="24"/>
                <w:szCs w:val="24"/>
              </w:rPr>
              <w:t>河川の水質は、工場・事業場の排水</w:t>
            </w:r>
            <w:r w:rsidR="00C25831" w:rsidRPr="002F5B3D">
              <w:rPr>
                <w:rFonts w:asciiTheme="minorEastAsia" w:hAnsiTheme="minorEastAsia" w:hint="eastAsia"/>
                <w:color w:val="000000" w:themeColor="text1"/>
                <w:sz w:val="24"/>
                <w:szCs w:val="24"/>
              </w:rPr>
              <w:t>規制</w:t>
            </w:r>
            <w:r w:rsidRPr="002F5B3D">
              <w:rPr>
                <w:rFonts w:asciiTheme="minorEastAsia" w:hAnsiTheme="minorEastAsia" w:hint="eastAsia"/>
                <w:color w:val="000000" w:themeColor="text1"/>
                <w:sz w:val="24"/>
                <w:szCs w:val="24"/>
              </w:rPr>
              <w:t>や下水道の整備などによって全体的に改善傾向</w:t>
            </w:r>
            <w:r w:rsidR="00C25831" w:rsidRPr="002F5B3D">
              <w:rPr>
                <w:rFonts w:asciiTheme="minorEastAsia" w:hAnsiTheme="minorEastAsia" w:hint="eastAsia"/>
                <w:color w:val="000000" w:themeColor="text1"/>
                <w:sz w:val="24"/>
                <w:szCs w:val="24"/>
              </w:rPr>
              <w:t>にあり、BOD 3mg/L以下を満たす河川の割合は</w:t>
            </w:r>
            <w:r w:rsidR="008772A0" w:rsidRPr="002F5B3D">
              <w:rPr>
                <w:rFonts w:asciiTheme="minorEastAsia" w:hAnsiTheme="minorEastAsia" w:hint="eastAsia"/>
                <w:color w:val="000000" w:themeColor="text1"/>
                <w:sz w:val="24"/>
                <w:szCs w:val="24"/>
              </w:rPr>
              <w:t>2015年度に８割に達している</w:t>
            </w:r>
            <w:r w:rsidRPr="002F5B3D">
              <w:rPr>
                <w:rFonts w:asciiTheme="minorEastAsia" w:hAnsiTheme="minorEastAsia" w:hint="eastAsia"/>
                <w:color w:val="000000" w:themeColor="text1"/>
                <w:sz w:val="24"/>
                <w:szCs w:val="24"/>
              </w:rPr>
              <w:t>。</w:t>
            </w:r>
          </w:p>
          <w:p w:rsidR="00B4322F" w:rsidRDefault="00B4322F" w:rsidP="004B444B">
            <w:pPr>
              <w:tabs>
                <w:tab w:val="left" w:pos="10348"/>
              </w:tabs>
              <w:ind w:leftChars="150" w:left="315" w:rightChars="68" w:right="143"/>
              <w:rPr>
                <w:rFonts w:asciiTheme="minorEastAsia" w:hAnsiTheme="minorEastAsia"/>
                <w:color w:val="000000" w:themeColor="text1"/>
                <w:sz w:val="24"/>
                <w:szCs w:val="24"/>
              </w:rPr>
            </w:pPr>
            <w:r w:rsidRPr="00D560AB">
              <w:rPr>
                <w:rFonts w:asciiTheme="minorEastAsia" w:hAnsiTheme="minorEastAsia" w:hint="eastAsia"/>
                <w:sz w:val="24"/>
                <w:szCs w:val="24"/>
              </w:rPr>
              <w:t>＜</w:t>
            </w:r>
            <w:r w:rsidRPr="00A15225">
              <w:rPr>
                <w:rFonts w:asciiTheme="minorEastAsia" w:hAnsiTheme="minorEastAsia" w:hint="eastAsia"/>
                <w:color w:val="000000" w:themeColor="text1"/>
                <w:sz w:val="24"/>
                <w:szCs w:val="24"/>
              </w:rPr>
              <w:t>府内河川における</w:t>
            </w:r>
            <w:r w:rsidRPr="0068302D">
              <w:rPr>
                <w:rFonts w:asciiTheme="minorEastAsia" w:hAnsiTheme="minorEastAsia" w:hint="eastAsia"/>
                <w:color w:val="000000" w:themeColor="text1"/>
                <w:sz w:val="24"/>
                <w:szCs w:val="24"/>
              </w:rPr>
              <w:t>状況＞</w:t>
            </w:r>
          </w:p>
          <w:p w:rsidR="00B4322F" w:rsidRPr="001C3061" w:rsidRDefault="00B4322F" w:rsidP="00E714F7">
            <w:pPr>
              <w:tabs>
                <w:tab w:val="left" w:pos="10348"/>
              </w:tabs>
              <w:ind w:leftChars="150" w:left="315" w:rightChars="68" w:right="143" w:firstLineChars="200" w:firstLine="480"/>
              <w:rPr>
                <w:rFonts w:ascii="ＭＳ ゴシック" w:eastAsia="ＭＳ ゴシック" w:hAnsi="ＭＳ ゴシック"/>
                <w:color w:val="000000" w:themeColor="text1"/>
                <w:kern w:val="0"/>
                <w:sz w:val="24"/>
                <w:szCs w:val="24"/>
              </w:rPr>
            </w:pPr>
            <w:r w:rsidRPr="00E714F7">
              <w:rPr>
                <w:rFonts w:ascii="ＭＳ ゴシック" w:eastAsia="ＭＳ ゴシック" w:hAnsi="ＭＳ ゴシック" w:hint="eastAsia"/>
                <w:color w:val="000000" w:themeColor="text1"/>
                <w:kern w:val="0"/>
                <w:sz w:val="24"/>
                <w:szCs w:val="24"/>
                <w:fitText w:val="3240" w:id="1198215168"/>
              </w:rPr>
              <w:t>BODの環境保全目標達成状</w:t>
            </w:r>
            <w:r w:rsidRPr="00E714F7">
              <w:rPr>
                <w:rFonts w:ascii="ＭＳ ゴシック" w:eastAsia="ＭＳ ゴシック" w:hAnsi="ＭＳ ゴシック" w:hint="eastAsia"/>
                <w:color w:val="000000" w:themeColor="text1"/>
                <w:spacing w:val="90"/>
                <w:kern w:val="0"/>
                <w:sz w:val="24"/>
                <w:szCs w:val="24"/>
                <w:fitText w:val="3240" w:id="1198215168"/>
              </w:rPr>
              <w:t>況</w:t>
            </w:r>
          </w:p>
          <w:p w:rsidR="00E34265" w:rsidRDefault="00B4322F" w:rsidP="004B444B">
            <w:pPr>
              <w:tabs>
                <w:tab w:val="left" w:pos="10348"/>
              </w:tabs>
              <w:ind w:leftChars="150" w:left="315" w:rightChars="68" w:right="143"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2011</w:t>
            </w:r>
            <w:r w:rsidRPr="0068302D">
              <w:rPr>
                <w:rFonts w:asciiTheme="minorEastAsia" w:hAnsiTheme="minorEastAsia" w:hint="eastAsia"/>
                <w:color w:val="000000" w:themeColor="text1"/>
                <w:sz w:val="24"/>
                <w:szCs w:val="24"/>
              </w:rPr>
              <w:t>年度　87.7％</w:t>
            </w:r>
            <w:r>
              <w:rPr>
                <w:rFonts w:asciiTheme="minorEastAsia" w:hAnsiTheme="minorEastAsia" w:hint="eastAsia"/>
                <w:color w:val="000000" w:themeColor="text1"/>
                <w:sz w:val="24"/>
                <w:szCs w:val="24"/>
              </w:rPr>
              <w:t xml:space="preserve">　</w:t>
            </w:r>
            <w:r w:rsidRPr="0068302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2015</w:t>
            </w:r>
            <w:r w:rsidRPr="0068302D">
              <w:rPr>
                <w:rFonts w:asciiTheme="minorEastAsia" w:hAnsiTheme="minorEastAsia" w:hint="eastAsia"/>
                <w:color w:val="000000" w:themeColor="text1"/>
                <w:sz w:val="24"/>
                <w:szCs w:val="24"/>
              </w:rPr>
              <w:t xml:space="preserve">年度　</w:t>
            </w:r>
            <w:r w:rsidR="00E34265">
              <w:rPr>
                <w:rFonts w:asciiTheme="minorEastAsia" w:hAnsiTheme="minorEastAsia" w:hint="eastAsia"/>
                <w:color w:val="000000" w:themeColor="text1"/>
                <w:sz w:val="24"/>
                <w:szCs w:val="24"/>
              </w:rPr>
              <w:t>96.3</w:t>
            </w:r>
            <w:r w:rsidRPr="0068302D">
              <w:rPr>
                <w:rFonts w:asciiTheme="minorEastAsia" w:hAnsiTheme="minorEastAsia" w:hint="eastAsia"/>
                <w:color w:val="000000" w:themeColor="text1"/>
                <w:sz w:val="24"/>
                <w:szCs w:val="24"/>
              </w:rPr>
              <w:t>％</w:t>
            </w:r>
          </w:p>
          <w:p w:rsidR="00B4322F" w:rsidRPr="001C3061" w:rsidRDefault="00B4322F" w:rsidP="00E714F7">
            <w:pPr>
              <w:tabs>
                <w:tab w:val="left" w:pos="10348"/>
              </w:tabs>
              <w:ind w:leftChars="150" w:left="315" w:rightChars="68" w:right="143" w:firstLineChars="200" w:firstLine="480"/>
              <w:rPr>
                <w:rFonts w:ascii="ＭＳ ゴシック" w:eastAsia="ＭＳ ゴシック" w:hAnsi="ＭＳ ゴシック"/>
                <w:color w:val="000000" w:themeColor="text1"/>
                <w:sz w:val="24"/>
                <w:szCs w:val="24"/>
              </w:rPr>
            </w:pPr>
            <w:r w:rsidRPr="00E714F7">
              <w:rPr>
                <w:rFonts w:ascii="ＭＳ ゴシック" w:eastAsia="ＭＳ ゴシック" w:hAnsi="ＭＳ ゴシック" w:hint="eastAsia"/>
                <w:color w:val="000000" w:themeColor="text1"/>
                <w:kern w:val="0"/>
                <w:sz w:val="24"/>
                <w:szCs w:val="24"/>
                <w:fitText w:val="3240" w:id="1198215169"/>
              </w:rPr>
              <w:t>BOD　3mg/L以下の水域の割</w:t>
            </w:r>
            <w:r w:rsidRPr="00E714F7">
              <w:rPr>
                <w:rFonts w:ascii="ＭＳ ゴシック" w:eastAsia="ＭＳ ゴシック" w:hAnsi="ＭＳ ゴシック" w:hint="eastAsia"/>
                <w:color w:val="000000" w:themeColor="text1"/>
                <w:spacing w:val="30"/>
                <w:kern w:val="0"/>
                <w:sz w:val="24"/>
                <w:szCs w:val="24"/>
                <w:fitText w:val="3240" w:id="1198215169"/>
              </w:rPr>
              <w:t>合</w:t>
            </w:r>
          </w:p>
          <w:p w:rsidR="00B4322F" w:rsidRDefault="00B4322F" w:rsidP="004B444B">
            <w:pPr>
              <w:tabs>
                <w:tab w:val="left" w:pos="10348"/>
              </w:tabs>
              <w:ind w:leftChars="150" w:left="315" w:rightChars="68" w:right="143"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2011</w:t>
            </w:r>
            <w:r w:rsidRPr="0068302D">
              <w:rPr>
                <w:rFonts w:asciiTheme="minorEastAsia" w:hAnsiTheme="minorEastAsia" w:hint="eastAsia"/>
                <w:color w:val="000000" w:themeColor="text1"/>
                <w:sz w:val="24"/>
                <w:szCs w:val="24"/>
              </w:rPr>
              <w:t>年度　67.9％</w:t>
            </w:r>
            <w:r>
              <w:rPr>
                <w:rFonts w:asciiTheme="minorEastAsia" w:hAnsiTheme="minorEastAsia" w:hint="eastAsia"/>
                <w:color w:val="000000" w:themeColor="text1"/>
                <w:sz w:val="24"/>
                <w:szCs w:val="24"/>
              </w:rPr>
              <w:t xml:space="preserve">　</w:t>
            </w:r>
            <w:r w:rsidRPr="0068302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2015年度</w:t>
            </w:r>
            <w:r w:rsidRPr="00E34265">
              <w:rPr>
                <w:rFonts w:asciiTheme="minorEastAsia" w:hAnsiTheme="minorEastAsia" w:hint="eastAsia"/>
                <w:sz w:val="24"/>
                <w:szCs w:val="24"/>
              </w:rPr>
              <w:t xml:space="preserve">　</w:t>
            </w:r>
            <w:r w:rsidR="00E34265" w:rsidRPr="00E34265">
              <w:rPr>
                <w:rFonts w:asciiTheme="minorEastAsia" w:hAnsiTheme="minorEastAsia" w:hint="eastAsia"/>
                <w:sz w:val="24"/>
                <w:szCs w:val="24"/>
              </w:rPr>
              <w:t>81.5</w:t>
            </w:r>
            <w:r w:rsidRPr="00E34265">
              <w:rPr>
                <w:rFonts w:asciiTheme="minorEastAsia" w:hAnsiTheme="minorEastAsia" w:hint="eastAsia"/>
                <w:sz w:val="24"/>
                <w:szCs w:val="24"/>
              </w:rPr>
              <w:t>％</w:t>
            </w:r>
          </w:p>
          <w:p w:rsidR="00E34265" w:rsidRDefault="00E34265" w:rsidP="004B444B">
            <w:pPr>
              <w:tabs>
                <w:tab w:val="left" w:pos="10348"/>
              </w:tabs>
              <w:ind w:rightChars="68" w:right="143"/>
            </w:pPr>
            <w:r>
              <w:rPr>
                <w:rFonts w:asciiTheme="minorEastAsia" w:hAnsiTheme="minorEastAsia" w:hint="eastAsia"/>
                <w:color w:val="000000" w:themeColor="text1"/>
                <w:sz w:val="24"/>
                <w:szCs w:val="24"/>
              </w:rPr>
              <w:t xml:space="preserve">　　　</w:t>
            </w:r>
          </w:p>
        </w:tc>
        <w:tc>
          <w:tcPr>
            <w:tcW w:w="7483" w:type="dxa"/>
            <w:gridSpan w:val="3"/>
            <w:tcBorders>
              <w:top w:val="single" w:sz="4" w:space="0" w:color="auto"/>
              <w:left w:val="single" w:sz="4" w:space="0" w:color="FFFFFF" w:themeColor="background1"/>
              <w:right w:val="single" w:sz="4" w:space="0" w:color="auto"/>
            </w:tcBorders>
          </w:tcPr>
          <w:p w:rsidR="00B4322F" w:rsidRPr="005A58E7" w:rsidRDefault="008A3FBB" w:rsidP="004B444B">
            <w:pPr>
              <w:jc w:val="left"/>
              <w:rPr>
                <w:color w:val="FF0000"/>
              </w:rPr>
            </w:pPr>
            <w:r>
              <w:rPr>
                <w:rFonts w:ascii="ＭＳ ゴシック" w:eastAsia="ＭＳ ゴシック" w:hAnsi="ＭＳ ゴシック"/>
                <w:noProof/>
                <w:sz w:val="22"/>
                <w:szCs w:val="21"/>
              </w:rPr>
              <mc:AlternateContent>
                <mc:Choice Requires="wps">
                  <w:drawing>
                    <wp:anchor distT="0" distB="0" distL="114300" distR="114300" simplePos="0" relativeHeight="251714560" behindDoc="0" locked="0" layoutInCell="1" allowOverlap="1">
                      <wp:simplePos x="0" y="0"/>
                      <wp:positionH relativeFrom="column">
                        <wp:posOffset>3932692</wp:posOffset>
                      </wp:positionH>
                      <wp:positionV relativeFrom="paragraph">
                        <wp:posOffset>-598805</wp:posOffset>
                      </wp:positionV>
                      <wp:extent cx="914400" cy="914400"/>
                      <wp:effectExtent l="0" t="0" r="26035" b="165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FBB" w:rsidRPr="008A3FBB" w:rsidRDefault="008A3FBB">
                                  <w:pPr>
                                    <w:rPr>
                                      <w:rFonts w:asciiTheme="majorEastAsia" w:eastAsiaTheme="majorEastAsia" w:hAnsiTheme="majorEastAsia"/>
                                      <w:sz w:val="28"/>
                                    </w:rPr>
                                  </w:pPr>
                                  <w:r w:rsidRPr="008A3FBB">
                                    <w:rPr>
                                      <w:rFonts w:asciiTheme="majorEastAsia" w:eastAsiaTheme="majorEastAsia" w:hAnsiTheme="majorEastAsia" w:hint="eastAsia"/>
                                      <w:sz w:val="28"/>
                                    </w:rPr>
                                    <w:t>資料３－２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09.65pt;margin-top:-47.15pt;width:1in;height:1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" fillcolor="white [3201]" strokeweight=".5pt">
                      <v:textbox style="mso-fit-shape-to-text:t">
                        <w:txbxContent>
                          <w:p w:rsidR="008A3FBB" w:rsidRPr="008A3FBB" w:rsidRDefault="008A3FBB">
                            <w:pPr>
                              <w:rPr>
                                <w:rFonts w:asciiTheme="majorEastAsia" w:eastAsiaTheme="majorEastAsia" w:hAnsiTheme="majorEastAsia"/>
                                <w:sz w:val="28"/>
                              </w:rPr>
                            </w:pPr>
                            <w:r w:rsidRPr="008A3FBB">
                              <w:rPr>
                                <w:rFonts w:asciiTheme="majorEastAsia" w:eastAsiaTheme="majorEastAsia" w:hAnsiTheme="majorEastAsia" w:hint="eastAsia"/>
                                <w:sz w:val="28"/>
                              </w:rPr>
                              <w:t>資料３－２</w:t>
                            </w:r>
                          </w:p>
                        </w:txbxContent>
                      </v:textbox>
                    </v:shape>
                  </w:pict>
                </mc:Fallback>
              </mc:AlternateContent>
            </w:r>
            <w:r w:rsidR="00A571C7" w:rsidRPr="00DF32CC">
              <w:rPr>
                <w:rFonts w:ascii="ＭＳ ゴシック" w:eastAsia="ＭＳ ゴシック" w:hAnsi="ＭＳ ゴシック"/>
                <w:noProof/>
                <w:sz w:val="22"/>
                <w:szCs w:val="21"/>
              </w:rPr>
              <mc:AlternateContent>
                <mc:Choice Requires="wps">
                  <w:drawing>
                    <wp:anchor distT="0" distB="0" distL="114300" distR="114300" simplePos="0" relativeHeight="251700224" behindDoc="0" locked="0" layoutInCell="1" allowOverlap="1" wp14:anchorId="4EE7532A" wp14:editId="1B6E4043">
                      <wp:simplePos x="0" y="0"/>
                      <wp:positionH relativeFrom="column">
                        <wp:posOffset>591094</wp:posOffset>
                      </wp:positionH>
                      <wp:positionV relativeFrom="paragraph">
                        <wp:posOffset>2246630</wp:posOffset>
                      </wp:positionV>
                      <wp:extent cx="366839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1403985"/>
                              </a:xfrm>
                              <a:prstGeom prst="rect">
                                <a:avLst/>
                              </a:prstGeom>
                              <a:noFill/>
                              <a:ln w="9525">
                                <a:noFill/>
                                <a:miter lim="800000"/>
                                <a:headEnd/>
                                <a:tailEnd/>
                              </a:ln>
                            </wps:spPr>
                            <wps:txbx>
                              <w:txbxContent>
                                <w:p w:rsidR="00B4322F" w:rsidRDefault="00B4322F">
                                  <w:r w:rsidRPr="00755699">
                                    <w:rPr>
                                      <w:rFonts w:ascii="ＭＳ ゴシック" w:eastAsia="ＭＳ ゴシック" w:hAnsi="ＭＳ ゴシック" w:hint="eastAsia"/>
                                      <w:b/>
                                      <w:sz w:val="18"/>
                                      <w:szCs w:val="18"/>
                                    </w:rPr>
                                    <w:t>BODの環境保全目標達成状況及びBOD3mg/L以下の水域の割合の推移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55pt;margin-top:176.9pt;width:288.8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" filled="f" stroked="f">
                      <v:textbox style="mso-fit-shape-to-text:t">
                        <w:txbxContent>
                          <w:p w:rsidR="00B4322F" w:rsidRDefault="00B4322F">
                            <w:r w:rsidRPr="00755699">
                              <w:rPr>
                                <w:rFonts w:ascii="ＭＳ ゴシック" w:eastAsia="ＭＳ ゴシック" w:hAnsi="ＭＳ ゴシック" w:hint="eastAsia"/>
                                <w:b/>
                                <w:sz w:val="18"/>
                                <w:szCs w:val="18"/>
                              </w:rPr>
                              <w:t>BODの環境保全目標達成状況及びBOD3mg/L以下の水域の割合の推移</w:t>
                            </w:r>
                          </w:p>
                        </w:txbxContent>
                      </v:textbox>
                    </v:shape>
                  </w:pict>
                </mc:Fallback>
              </mc:AlternateContent>
            </w:r>
            <w:r w:rsidR="00A571C7">
              <w:rPr>
                <w:noProof/>
              </w:rPr>
              <w:drawing>
                <wp:inline distT="0" distB="0" distL="0" distR="0" wp14:anchorId="6FA4012F" wp14:editId="01CE66C8">
                  <wp:extent cx="4584357" cy="2370390"/>
                  <wp:effectExtent l="0" t="0" r="698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bookmarkStart w:id="0" w:name="_GoBack"/>
        <w:bookmarkEnd w:id="0"/>
      </w:tr>
      <w:tr w:rsidR="004B444B" w:rsidTr="000E4EE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5663" w:type="dxa"/>
          <w:wAfter w:w="6174" w:type="dxa"/>
          <w:trHeight w:val="100"/>
        </w:trPr>
        <w:tc>
          <w:tcPr>
            <w:tcW w:w="9769" w:type="dxa"/>
            <w:gridSpan w:val="4"/>
          </w:tcPr>
          <w:p w:rsidR="004B444B" w:rsidRDefault="004B444B" w:rsidP="004B444B">
            <w:pPr>
              <w:snapToGrid w:val="0"/>
              <w:rPr>
                <w:sz w:val="12"/>
              </w:rPr>
            </w:pPr>
          </w:p>
        </w:tc>
      </w:tr>
      <w:tr w:rsidR="00933DBF" w:rsidTr="000E4EE5">
        <w:tblPrEx>
          <w:tblCellMar>
            <w:left w:w="108" w:type="dxa"/>
            <w:right w:w="108" w:type="dxa"/>
          </w:tblCellMar>
        </w:tblPrEx>
        <w:trPr>
          <w:gridAfter w:val="1"/>
          <w:wAfter w:w="9" w:type="dxa"/>
          <w:trHeight w:val="8844"/>
        </w:trPr>
        <w:tc>
          <w:tcPr>
            <w:tcW w:w="10494" w:type="dxa"/>
            <w:gridSpan w:val="3"/>
            <w:tcBorders>
              <w:top w:val="single" w:sz="4" w:space="0" w:color="auto"/>
              <w:left w:val="single" w:sz="4" w:space="0" w:color="auto"/>
              <w:bottom w:val="single" w:sz="4" w:space="0" w:color="auto"/>
              <w:right w:val="single" w:sz="12" w:space="0" w:color="FFFFFF" w:themeColor="background1"/>
            </w:tcBorders>
            <w:shd w:val="clear" w:color="auto" w:fill="FFFFFF" w:themeFill="background1"/>
          </w:tcPr>
          <w:p w:rsidR="00933DBF" w:rsidRDefault="00933DBF">
            <w:r>
              <w:rPr>
                <w:rFonts w:hint="eastAsia"/>
                <w:noProof/>
              </w:rPr>
              <mc:AlternateContent>
                <mc:Choice Requires="wps">
                  <w:drawing>
                    <wp:anchor distT="0" distB="0" distL="114300" distR="114300" simplePos="0" relativeHeight="251705344" behindDoc="0" locked="0" layoutInCell="1" allowOverlap="1" wp14:anchorId="6649C020" wp14:editId="365C71AE">
                      <wp:simplePos x="0" y="0"/>
                      <wp:positionH relativeFrom="column">
                        <wp:posOffset>3175</wp:posOffset>
                      </wp:positionH>
                      <wp:positionV relativeFrom="paragraph">
                        <wp:posOffset>-6642</wp:posOffset>
                      </wp:positionV>
                      <wp:extent cx="6378575" cy="5687695"/>
                      <wp:effectExtent l="0" t="0" r="0" b="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5687695"/>
                              </a:xfrm>
                              <a:prstGeom prst="foldedCorner">
                                <a:avLst>
                                  <a:gd name="adj" fmla="val 1703"/>
                                </a:avLst>
                              </a:prstGeom>
                              <a:noFill/>
                              <a:ln w="9525">
                                <a:noFill/>
                                <a:round/>
                                <a:headEnd/>
                                <a:tailEnd/>
                              </a:ln>
                            </wps:spPr>
                            <wps:txbx>
                              <w:txbxContent>
                                <w:p w:rsidR="00933DBF" w:rsidRPr="00B37AA2" w:rsidRDefault="00933DBF" w:rsidP="00933DBF">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事業の内容及び取組状況</w:t>
                                  </w:r>
                                </w:p>
                                <w:p w:rsidR="00933DBF" w:rsidRPr="00B37AA2" w:rsidRDefault="00933DBF" w:rsidP="00933DBF">
                                  <w:pPr>
                                    <w:rPr>
                                      <w:rFonts w:ascii="ＭＳ ゴシック" w:eastAsia="ＭＳ ゴシック" w:hAnsi="ＭＳ ゴシック"/>
                                      <w:b/>
                                      <w:color w:val="000000" w:themeColor="text1"/>
                                      <w:sz w:val="24"/>
                                      <w:szCs w:val="24"/>
                                    </w:rPr>
                                  </w:pPr>
                                  <w:r w:rsidRPr="00B37AA2">
                                    <w:rPr>
                                      <w:rFonts w:ascii="ＭＳ ゴシック" w:eastAsia="ＭＳ ゴシック" w:hAnsi="ＭＳ ゴシック" w:hint="eastAsia"/>
                                      <w:b/>
                                      <w:sz w:val="24"/>
                                      <w:szCs w:val="24"/>
                                    </w:rPr>
                                    <w:t>●水質汚濁防止の事業</w:t>
                                  </w:r>
                                  <w:r w:rsidR="00A71936">
                                    <w:rPr>
                                      <w:rFonts w:ascii="ＭＳ ゴシック" w:eastAsia="ＭＳ ゴシック" w:hAnsi="ＭＳ ゴシック" w:hint="eastAsia"/>
                                      <w:b/>
                                      <w:sz w:val="24"/>
                                      <w:szCs w:val="24"/>
                                    </w:rPr>
                                    <w:t>場</w:t>
                                  </w:r>
                                  <w:r w:rsidRPr="00B37AA2">
                                    <w:rPr>
                                      <w:rFonts w:ascii="ＭＳ ゴシック" w:eastAsia="ＭＳ ゴシック" w:hAnsi="ＭＳ ゴシック" w:hint="eastAsia"/>
                                      <w:b/>
                                      <w:color w:val="000000" w:themeColor="text1"/>
                                      <w:sz w:val="24"/>
                                      <w:szCs w:val="24"/>
                                    </w:rPr>
                                    <w:t>規制</w:t>
                                  </w:r>
                                </w:p>
                                <w:p w:rsidR="00933DBF" w:rsidRPr="00EF41FA" w:rsidRDefault="00933DBF" w:rsidP="00933DBF">
                                  <w:pPr>
                                    <w:snapToGrid w:val="0"/>
                                    <w:rPr>
                                      <w:rFonts w:ascii="ＭＳ 明朝" w:eastAsia="ＭＳ 明朝" w:hAnsi="ＭＳ 明朝"/>
                                      <w:sz w:val="24"/>
                                      <w:szCs w:val="24"/>
                                    </w:rPr>
                                  </w:pPr>
                                  <w:r w:rsidRPr="00EF41FA">
                                    <w:rPr>
                                      <w:rFonts w:ascii="ＭＳ ゴシック" w:eastAsia="ＭＳ ゴシック" w:hAnsi="ＭＳ ゴシック" w:hint="eastAsia"/>
                                      <w:sz w:val="24"/>
                                      <w:szCs w:val="24"/>
                                    </w:rPr>
                                    <w:t>【規制指導の概要】</w:t>
                                  </w:r>
                                  <w:r w:rsidRPr="00EF41FA">
                                    <w:rPr>
                                      <w:rFonts w:ascii="ＭＳ 明朝" w:eastAsia="ＭＳ 明朝" w:hAnsi="ＭＳ 明朝" w:hint="eastAsia"/>
                                      <w:sz w:val="24"/>
                                      <w:szCs w:val="24"/>
                                    </w:rPr>
                                    <w:t>（事業</w:t>
                                  </w:r>
                                  <w:r w:rsidRPr="002F5B3D">
                                    <w:rPr>
                                      <w:rFonts w:ascii="ＭＳ 明朝" w:eastAsia="ＭＳ 明朝" w:hAnsi="ＭＳ 明朝" w:hint="eastAsia"/>
                                      <w:color w:val="000000" w:themeColor="text1"/>
                                      <w:sz w:val="24"/>
                                      <w:szCs w:val="24"/>
                                    </w:rPr>
                                    <w:t>場</w:t>
                                  </w:r>
                                  <w:r w:rsidRPr="00EF41FA">
                                    <w:rPr>
                                      <w:rFonts w:ascii="ＭＳ 明朝" w:eastAsia="ＭＳ 明朝" w:hAnsi="ＭＳ 明朝" w:hint="eastAsia"/>
                                      <w:sz w:val="24"/>
                                      <w:szCs w:val="24"/>
                                    </w:rPr>
                                    <w:t>数は</w:t>
                                  </w:r>
                                  <w:r>
                                    <w:rPr>
                                      <w:rFonts w:ascii="ＭＳ 明朝" w:eastAsia="ＭＳ 明朝" w:hAnsi="ＭＳ 明朝" w:hint="eastAsia"/>
                                      <w:sz w:val="24"/>
                                      <w:szCs w:val="24"/>
                                    </w:rPr>
                                    <w:t>2015</w:t>
                                  </w:r>
                                  <w:r w:rsidRPr="00EF41FA">
                                    <w:rPr>
                                      <w:rFonts w:ascii="ＭＳ 明朝" w:eastAsia="ＭＳ 明朝" w:hAnsi="ＭＳ 明朝" w:hint="eastAsia"/>
                                      <w:sz w:val="24"/>
                                      <w:szCs w:val="24"/>
                                    </w:rPr>
                                    <w:t>年度末）</w:t>
                                  </w:r>
                                </w:p>
                                <w:p w:rsidR="00933DBF" w:rsidRPr="00C72780" w:rsidRDefault="00933DBF" w:rsidP="00933DBF">
                                  <w:pPr>
                                    <w:snapToGrid w:val="0"/>
                                    <w:ind w:firstLineChars="100" w:firstLine="240"/>
                                    <w:rPr>
                                      <w:rFonts w:ascii="ＭＳ ゴシック" w:eastAsia="ＭＳ ゴシック" w:hAnsi="ＭＳ ゴシック"/>
                                      <w:sz w:val="24"/>
                                      <w:szCs w:val="24"/>
                                    </w:rPr>
                                  </w:pPr>
                                  <w:r w:rsidRPr="00C72780">
                                    <w:rPr>
                                      <w:rFonts w:ascii="ＭＳ ゴシック" w:eastAsia="ＭＳ ゴシック" w:hAnsi="ＭＳ ゴシック" w:hint="eastAsia"/>
                                      <w:sz w:val="24"/>
                                      <w:szCs w:val="24"/>
                                    </w:rPr>
                                    <w:t>○施設の設置等の規制</w:t>
                                  </w:r>
                                </w:p>
                                <w:p w:rsidR="00933DBF" w:rsidRPr="00EF41FA" w:rsidRDefault="00933DBF" w:rsidP="00933DBF">
                                  <w:pPr>
                                    <w:snapToGrid w:val="0"/>
                                    <w:ind w:leftChars="200" w:left="1620" w:hangingChars="500" w:hanging="1200"/>
                                    <w:rPr>
                                      <w:rFonts w:ascii="ＭＳ 明朝" w:eastAsia="ＭＳ 明朝" w:hAnsi="ＭＳ 明朝"/>
                                      <w:sz w:val="24"/>
                                      <w:szCs w:val="24"/>
                                    </w:rPr>
                                  </w:pPr>
                                  <w:r>
                                    <w:rPr>
                                      <w:rFonts w:ascii="ＭＳ 明朝" w:eastAsia="ＭＳ 明朝" w:hAnsi="ＭＳ 明朝" w:hint="eastAsia"/>
                                      <w:sz w:val="24"/>
                                      <w:szCs w:val="24"/>
                                    </w:rPr>
                                    <w:t>法・条例対象</w:t>
                                  </w:r>
                                  <w:r w:rsidRPr="00EF41FA">
                                    <w:rPr>
                                      <w:rFonts w:ascii="ＭＳ 明朝" w:eastAsia="ＭＳ 明朝" w:hAnsi="ＭＳ 明朝" w:hint="eastAsia"/>
                                      <w:sz w:val="24"/>
                                      <w:szCs w:val="24"/>
                                    </w:rPr>
                                    <w:t>施設の設置・変更を行う事業</w:t>
                                  </w:r>
                                  <w:r>
                                    <w:rPr>
                                      <w:rFonts w:ascii="ＭＳ 明朝" w:eastAsia="ＭＳ 明朝" w:hAnsi="ＭＳ 明朝" w:hint="eastAsia"/>
                                      <w:sz w:val="24"/>
                                      <w:szCs w:val="24"/>
                                    </w:rPr>
                                    <w:t>場</w:t>
                                  </w:r>
                                  <w:r w:rsidRPr="00EF41FA">
                                    <w:rPr>
                                      <w:rFonts w:ascii="ＭＳ 明朝" w:eastAsia="ＭＳ 明朝" w:hAnsi="ＭＳ 明朝" w:hint="eastAsia"/>
                                      <w:sz w:val="24"/>
                                      <w:szCs w:val="24"/>
                                    </w:rPr>
                                    <w:t>は、以下の手続が必要</w:t>
                                  </w:r>
                                </w:p>
                                <w:p w:rsidR="00933DBF" w:rsidRPr="00EF41FA" w:rsidRDefault="00933DBF" w:rsidP="00933DBF">
                                  <w:pPr>
                                    <w:snapToGrid w:val="0"/>
                                    <w:ind w:leftChars="200" w:left="1620" w:hangingChars="500" w:hanging="1200"/>
                                    <w:rPr>
                                      <w:rFonts w:ascii="ＭＳ 明朝" w:eastAsia="ＭＳ 明朝" w:hAnsi="ＭＳ 明朝"/>
                                      <w:sz w:val="24"/>
                                      <w:szCs w:val="24"/>
                                    </w:rPr>
                                  </w:pPr>
                                  <w:r w:rsidRPr="00C72780">
                                    <w:rPr>
                                      <w:rFonts w:ascii="ＭＳ ゴシック" w:eastAsia="ＭＳ ゴシック" w:hAnsi="ＭＳ ゴシック" w:hint="eastAsia"/>
                                      <w:sz w:val="24"/>
                                      <w:szCs w:val="24"/>
                                    </w:rPr>
                                    <w:t>・届出</w:t>
                                  </w:r>
                                  <w:r w:rsidRPr="00EF41FA">
                                    <w:rPr>
                                      <w:rFonts w:ascii="ＭＳ 明朝" w:eastAsia="ＭＳ 明朝" w:hAnsi="ＭＳ 明朝" w:hint="eastAsia"/>
                                      <w:sz w:val="24"/>
                                      <w:szCs w:val="24"/>
                                    </w:rPr>
                                    <w:t xml:space="preserve">　　水質汚濁防止法</w:t>
                                  </w:r>
                                  <w:r>
                                    <w:rPr>
                                      <w:rFonts w:ascii="ＭＳ 明朝" w:eastAsia="ＭＳ 明朝" w:hAnsi="ＭＳ 明朝" w:hint="eastAsia"/>
                                      <w:sz w:val="24"/>
                                      <w:szCs w:val="24"/>
                                    </w:rPr>
                                    <w:t>及び府生活環境保全</w:t>
                                  </w:r>
                                  <w:r w:rsidRPr="00EF41FA">
                                    <w:rPr>
                                      <w:rFonts w:ascii="ＭＳ 明朝" w:eastAsia="ＭＳ 明朝" w:hAnsi="ＭＳ 明朝" w:hint="eastAsia"/>
                                      <w:sz w:val="24"/>
                                      <w:szCs w:val="24"/>
                                    </w:rPr>
                                    <w:t>条例に基づく届出</w:t>
                                  </w:r>
                                </w:p>
                                <w:p w:rsidR="00933DBF" w:rsidRPr="00EF41FA" w:rsidRDefault="00933DBF" w:rsidP="00933DBF">
                                  <w:pPr>
                                    <w:snapToGrid w:val="0"/>
                                    <w:ind w:leftChars="200" w:left="1620" w:hangingChars="500" w:hanging="1200"/>
                                    <w:rPr>
                                      <w:rFonts w:ascii="ＭＳ 明朝" w:eastAsia="ＭＳ 明朝" w:hAnsi="ＭＳ 明朝"/>
                                      <w:sz w:val="24"/>
                                      <w:szCs w:val="24"/>
                                    </w:rPr>
                                  </w:pPr>
                                  <w:r w:rsidRPr="00C72780">
                                    <w:rPr>
                                      <w:rFonts w:ascii="ＭＳ ゴシック" w:eastAsia="ＭＳ ゴシック" w:hAnsi="ＭＳ ゴシック" w:hint="eastAsia"/>
                                      <w:sz w:val="24"/>
                                      <w:szCs w:val="24"/>
                                    </w:rPr>
                                    <w:t>・許可</w:t>
                                  </w:r>
                                  <w:r w:rsidRPr="00EF41FA">
                                    <w:rPr>
                                      <w:rFonts w:ascii="ＭＳ 明朝" w:eastAsia="ＭＳ 明朝" w:hAnsi="ＭＳ 明朝" w:hint="eastAsia"/>
                                      <w:sz w:val="24"/>
                                      <w:szCs w:val="24"/>
                                    </w:rPr>
                                    <w:t xml:space="preserve">　　</w:t>
                                  </w:r>
                                  <w:r>
                                    <w:rPr>
                                      <w:rFonts w:ascii="ＭＳ 明朝" w:eastAsia="ＭＳ 明朝" w:hAnsi="ＭＳ 明朝" w:hint="eastAsia"/>
                                      <w:sz w:val="24"/>
                                      <w:szCs w:val="24"/>
                                    </w:rPr>
                                    <w:t>法</w:t>
                                  </w:r>
                                  <w:r w:rsidRPr="00EF41FA">
                                    <w:rPr>
                                      <w:rFonts w:ascii="ＭＳ 明朝" w:eastAsia="ＭＳ 明朝" w:hAnsi="ＭＳ 明朝" w:hint="eastAsia"/>
                                      <w:sz w:val="24"/>
                                      <w:szCs w:val="24"/>
                                    </w:rPr>
                                    <w:t>対象事業場のうち、最大排水量</w:t>
                                  </w:r>
                                  <w:r w:rsidRPr="00EF41FA">
                                    <w:rPr>
                                      <w:rFonts w:ascii="ＭＳ 明朝" w:eastAsia="ＭＳ 明朝" w:hAnsi="ＭＳ 明朝"/>
                                      <w:sz w:val="24"/>
                                      <w:szCs w:val="24"/>
                                    </w:rPr>
                                    <w:t>50</w:t>
                                  </w:r>
                                  <w:r w:rsidRPr="00EF41FA">
                                    <w:rPr>
                                      <w:rFonts w:ascii="ＭＳ 明朝" w:eastAsia="ＭＳ 明朝" w:hAnsi="ＭＳ 明朝" w:hint="eastAsia"/>
                                      <w:sz w:val="24"/>
                                      <w:szCs w:val="24"/>
                                    </w:rPr>
                                    <w:t>㎥／日以上の事業場では、瀬戸内海環境保全特別措置法に基づく許可</w:t>
                                  </w:r>
                                </w:p>
                                <w:p w:rsidR="00933DBF" w:rsidRPr="00C72780" w:rsidRDefault="00933DBF" w:rsidP="00933DBF">
                                  <w:pPr>
                                    <w:snapToGrid w:val="0"/>
                                    <w:ind w:firstLineChars="100" w:firstLine="240"/>
                                    <w:rPr>
                                      <w:rFonts w:ascii="ＭＳ ゴシック" w:eastAsia="ＭＳ ゴシック" w:hAnsi="ＭＳ ゴシック"/>
                                      <w:sz w:val="24"/>
                                      <w:szCs w:val="24"/>
                                    </w:rPr>
                                  </w:pPr>
                                  <w:r w:rsidRPr="00C72780">
                                    <w:rPr>
                                      <w:rFonts w:ascii="ＭＳ ゴシック" w:eastAsia="ＭＳ ゴシック" w:hAnsi="ＭＳ ゴシック" w:hint="eastAsia"/>
                                      <w:sz w:val="24"/>
                                      <w:szCs w:val="24"/>
                                    </w:rPr>
                                    <w:t>○排出水の規制</w:t>
                                  </w:r>
                                </w:p>
                                <w:p w:rsidR="00933DBF" w:rsidRDefault="00933DBF" w:rsidP="00933DBF">
                                  <w:pPr>
                                    <w:snapToGrid w:val="0"/>
                                    <w:rPr>
                                      <w:rFonts w:ascii="ＭＳ 明朝" w:eastAsia="ＭＳ 明朝" w:hAnsi="ＭＳ 明朝"/>
                                      <w:sz w:val="24"/>
                                      <w:szCs w:val="24"/>
                                    </w:rPr>
                                  </w:pPr>
                                  <w:r w:rsidRPr="00EF41FA">
                                    <w:rPr>
                                      <w:rFonts w:ascii="ＭＳ 明朝" w:eastAsia="ＭＳ 明朝" w:hAnsi="ＭＳ 明朝" w:hint="eastAsia"/>
                                      <w:sz w:val="24"/>
                                      <w:szCs w:val="24"/>
                                    </w:rPr>
                                    <w:t xml:space="preserve">　　</w:t>
                                  </w:r>
                                  <w:r w:rsidRPr="00C72780">
                                    <w:rPr>
                                      <w:rFonts w:ascii="ＭＳ ゴシック" w:eastAsia="ＭＳ ゴシック" w:hAnsi="ＭＳ ゴシック"/>
                                      <w:sz w:val="24"/>
                                      <w:szCs w:val="24"/>
                                    </w:rPr>
                                    <w:t></w:t>
                                  </w:r>
                                  <w:r w:rsidRPr="00C72780">
                                    <w:rPr>
                                      <w:rFonts w:ascii="ＭＳ ゴシック" w:eastAsia="ＭＳ ゴシック" w:hAnsi="ＭＳ ゴシック" w:hint="eastAsia"/>
                                      <w:sz w:val="24"/>
                                      <w:szCs w:val="24"/>
                                    </w:rPr>
                                    <w:t>濃度規制</w:t>
                                  </w:r>
                                  <w:r w:rsidRPr="00EF41FA">
                                    <w:rPr>
                                      <w:rFonts w:ascii="ＭＳ 明朝" w:eastAsia="ＭＳ 明朝" w:hAnsi="ＭＳ 明朝" w:hint="eastAsia"/>
                                      <w:sz w:val="24"/>
                                      <w:szCs w:val="24"/>
                                    </w:rPr>
                                    <w:t>（</w:t>
                                  </w:r>
                                  <w:r>
                                    <w:rPr>
                                      <w:rFonts w:ascii="ＭＳ 明朝" w:eastAsia="ＭＳ 明朝" w:hAnsi="ＭＳ 明朝" w:hint="eastAsia"/>
                                      <w:sz w:val="24"/>
                                      <w:szCs w:val="24"/>
                                    </w:rPr>
                                    <w:t>河川等への</w:t>
                                  </w:r>
                                  <w:r w:rsidRPr="00EF41FA">
                                    <w:rPr>
                                      <w:rFonts w:ascii="ＭＳ 明朝" w:eastAsia="ＭＳ 明朝" w:hAnsi="ＭＳ 明朝" w:hint="eastAsia"/>
                                      <w:sz w:val="24"/>
                                      <w:szCs w:val="24"/>
                                    </w:rPr>
                                    <w:t>排出水の濃度を規制（排水基準））</w:t>
                                  </w:r>
                                </w:p>
                                <w:p w:rsidR="00933DBF" w:rsidRPr="00EF41FA" w:rsidRDefault="00933DBF" w:rsidP="00933DB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1C3061">
                                    <w:rPr>
                                      <w:rFonts w:ascii="ＭＳ ゴシック" w:eastAsia="ＭＳ ゴシック" w:hAnsi="ＭＳ ゴシック" w:hint="eastAsia"/>
                                      <w:sz w:val="24"/>
                                      <w:szCs w:val="24"/>
                                    </w:rPr>
                                    <w:t>＜生活環境項目＞</w:t>
                                  </w:r>
                                  <w:r w:rsidRPr="00EF41FA">
                                    <w:rPr>
                                      <w:rFonts w:ascii="ＭＳ 明朝" w:eastAsia="ＭＳ 明朝" w:hAnsi="ＭＳ 明朝" w:hint="eastAsia"/>
                                      <w:sz w:val="24"/>
                                      <w:szCs w:val="24"/>
                                    </w:rPr>
                                    <w:t>pH、BOD、COD、SS等15項目</w:t>
                                  </w:r>
                                  <w:r>
                                    <w:rPr>
                                      <w:rFonts w:ascii="ＭＳ 明朝" w:eastAsia="ＭＳ 明朝" w:hAnsi="ＭＳ 明朝" w:hint="eastAsia"/>
                                      <w:sz w:val="24"/>
                                      <w:szCs w:val="24"/>
                                    </w:rPr>
                                    <w:t xml:space="preserve">　</w:t>
                                  </w:r>
                                  <w:r w:rsidRPr="00EF41F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EF41FA">
                                    <w:rPr>
                                      <w:rFonts w:ascii="ＭＳ 明朝" w:eastAsia="ＭＳ 明朝" w:hAnsi="ＭＳ 明朝" w:hint="eastAsia"/>
                                      <w:sz w:val="24"/>
                                      <w:szCs w:val="24"/>
                                    </w:rPr>
                                    <w:t>色・臭気</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sidRPr="00EF41FA">
                                    <w:rPr>
                                      <w:rFonts w:ascii="ＭＳ 明朝" w:eastAsia="ＭＳ 明朝" w:hAnsi="ＭＳ 明朝" w:hint="eastAsia"/>
                                      <w:sz w:val="24"/>
                                      <w:szCs w:val="24"/>
                                    </w:rPr>
                                    <w:t>平均排水量</w:t>
                                  </w:r>
                                  <w:r w:rsidRPr="00EF41FA">
                                    <w:rPr>
                                      <w:rFonts w:ascii="ＭＳ 明朝" w:eastAsia="ＭＳ 明朝" w:hAnsi="ＭＳ 明朝"/>
                                      <w:sz w:val="24"/>
                                      <w:szCs w:val="24"/>
                                    </w:rPr>
                                    <w:t>30</w:t>
                                  </w:r>
                                  <w:r w:rsidRPr="00EF41FA">
                                    <w:rPr>
                                      <w:rFonts w:ascii="ＭＳ 明朝" w:eastAsia="ＭＳ 明朝" w:hAnsi="ＭＳ 明朝" w:hint="eastAsia"/>
                                      <w:sz w:val="24"/>
                                      <w:szCs w:val="24"/>
                                    </w:rPr>
                                    <w:t>㎥／日以上の事業場【</w:t>
                                  </w:r>
                                  <w:r>
                                    <w:rPr>
                                      <w:rFonts w:ascii="ＭＳ 明朝" w:eastAsia="ＭＳ 明朝" w:hAnsi="ＭＳ 明朝" w:hint="eastAsia"/>
                                      <w:sz w:val="24"/>
                                      <w:szCs w:val="24"/>
                                    </w:rPr>
                                    <w:t>726事業</w:t>
                                  </w:r>
                                  <w:r w:rsidRPr="00EF41FA">
                                    <w:rPr>
                                      <w:rFonts w:ascii="ＭＳ 明朝" w:eastAsia="ＭＳ 明朝" w:hAnsi="ＭＳ 明朝" w:hint="eastAsia"/>
                                      <w:sz w:val="24"/>
                                      <w:szCs w:val="24"/>
                                    </w:rPr>
                                    <w:t>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（府：237事業場、政令市：302事業場、権限移譲市町村：187事業場）</w:t>
                                  </w:r>
                                </w:p>
                                <w:p w:rsidR="00933DBF" w:rsidRPr="00EF41FA" w:rsidRDefault="00933DBF" w:rsidP="00933DBF">
                                  <w:pPr>
                                    <w:snapToGrid w:val="0"/>
                                    <w:ind w:firstLineChars="900" w:firstLine="2160"/>
                                    <w:rPr>
                                      <w:rFonts w:ascii="ＭＳ 明朝" w:eastAsia="ＭＳ 明朝" w:hAnsi="ＭＳ 明朝"/>
                                      <w:sz w:val="24"/>
                                      <w:szCs w:val="24"/>
                                    </w:rPr>
                                  </w:pPr>
                                  <w:r w:rsidRPr="00EF41FA">
                                    <w:rPr>
                                      <w:rFonts w:ascii="ＭＳ 明朝" w:eastAsia="ＭＳ 明朝" w:hAnsi="ＭＳ 明朝" w:hint="eastAsia"/>
                                      <w:sz w:val="24"/>
                                      <w:szCs w:val="24"/>
                                    </w:rPr>
                                    <w:t>→</w:t>
                                  </w:r>
                                  <w:r w:rsidRPr="00EF41FA">
                                    <w:rPr>
                                      <w:rFonts w:ascii="ＭＳ 明朝" w:eastAsia="ＭＳ 明朝" w:hAnsi="ＭＳ 明朝"/>
                                      <w:sz w:val="24"/>
                                      <w:szCs w:val="24"/>
                                    </w:rPr>
                                    <w:t xml:space="preserve"> </w:t>
                                  </w:r>
                                  <w:r w:rsidRPr="00EF41FA">
                                    <w:rPr>
                                      <w:rFonts w:ascii="ＭＳ 明朝" w:eastAsia="ＭＳ 明朝" w:hAnsi="ＭＳ 明朝" w:hint="eastAsia"/>
                                      <w:sz w:val="24"/>
                                      <w:szCs w:val="24"/>
                                    </w:rPr>
                                    <w:t>水濁法一律基準＋上乗せ条例</w:t>
                                  </w:r>
                                </w:p>
                                <w:p w:rsidR="00933DBF" w:rsidRPr="00EF41FA" w:rsidRDefault="00933DBF" w:rsidP="00933DB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1C3061">
                                    <w:rPr>
                                      <w:rFonts w:ascii="ＭＳ ゴシック" w:eastAsia="ＭＳ ゴシック" w:hAnsi="ＭＳ ゴシック" w:hint="eastAsia"/>
                                      <w:sz w:val="24"/>
                                      <w:szCs w:val="24"/>
                                    </w:rPr>
                                    <w:t>＜有害物質＞</w:t>
                                  </w:r>
                                  <w:r>
                                    <w:rPr>
                                      <w:rFonts w:ascii="ＭＳ 明朝" w:eastAsia="ＭＳ 明朝" w:hAnsi="ＭＳ 明朝" w:hint="eastAsia"/>
                                      <w:sz w:val="24"/>
                                      <w:szCs w:val="24"/>
                                    </w:rPr>
                                    <w:t>鉛</w:t>
                                  </w:r>
                                  <w:r w:rsidRPr="00EF41FA">
                                    <w:rPr>
                                      <w:rFonts w:ascii="ＭＳ 明朝" w:eastAsia="ＭＳ 明朝" w:hAnsi="ＭＳ 明朝" w:hint="eastAsia"/>
                                      <w:sz w:val="24"/>
                                      <w:szCs w:val="24"/>
                                    </w:rPr>
                                    <w:t>、</w:t>
                                  </w:r>
                                  <w:r>
                                    <w:rPr>
                                      <w:rFonts w:ascii="ＭＳ 明朝" w:eastAsia="ＭＳ 明朝" w:hAnsi="ＭＳ 明朝" w:hint="eastAsia"/>
                                      <w:sz w:val="24"/>
                                      <w:szCs w:val="24"/>
                                    </w:rPr>
                                    <w:t>水銀</w:t>
                                  </w:r>
                                  <w:r w:rsidRPr="00EF41FA">
                                    <w:rPr>
                                      <w:rFonts w:ascii="ＭＳ 明朝" w:eastAsia="ＭＳ 明朝" w:hAnsi="ＭＳ 明朝" w:hint="eastAsia"/>
                                      <w:sz w:val="24"/>
                                      <w:szCs w:val="24"/>
                                    </w:rPr>
                                    <w:t>、</w:t>
                                  </w:r>
                                  <w:r>
                                    <w:rPr>
                                      <w:rFonts w:ascii="ＭＳ 明朝" w:eastAsia="ＭＳ 明朝" w:hAnsi="ＭＳ 明朝" w:hint="eastAsia"/>
                                      <w:sz w:val="24"/>
                                      <w:szCs w:val="24"/>
                                    </w:rPr>
                                    <w:t>VOC</w:t>
                                  </w:r>
                                  <w:r w:rsidRPr="00EF41FA">
                                    <w:rPr>
                                      <w:rFonts w:ascii="ＭＳ 明朝" w:eastAsia="ＭＳ 明朝" w:hAnsi="ＭＳ 明朝" w:hint="eastAsia"/>
                                      <w:sz w:val="24"/>
                                      <w:szCs w:val="24"/>
                                    </w:rPr>
                                    <w:t>、</w:t>
                                  </w:r>
                                  <w:r>
                                    <w:rPr>
                                      <w:rFonts w:ascii="ＭＳ 明朝" w:eastAsia="ＭＳ 明朝" w:hAnsi="ＭＳ 明朝" w:hint="eastAsia"/>
                                      <w:sz w:val="24"/>
                                      <w:szCs w:val="24"/>
                                    </w:rPr>
                                    <w:t>ふっ素、ほう素</w:t>
                                  </w:r>
                                  <w:r w:rsidRPr="00EF41FA">
                                    <w:rPr>
                                      <w:rFonts w:ascii="ＭＳ 明朝" w:eastAsia="ＭＳ 明朝" w:hAnsi="ＭＳ 明朝" w:hint="eastAsia"/>
                                      <w:sz w:val="24"/>
                                      <w:szCs w:val="24"/>
                                    </w:rPr>
                                    <w:t>等</w:t>
                                  </w:r>
                                  <w:r>
                                    <w:rPr>
                                      <w:rFonts w:ascii="ＭＳ 明朝" w:eastAsia="ＭＳ 明朝" w:hAnsi="ＭＳ 明朝" w:hint="eastAsia"/>
                                      <w:sz w:val="24"/>
                                      <w:szCs w:val="24"/>
                                    </w:rPr>
                                    <w:t>28</w:t>
                                  </w:r>
                                  <w:r w:rsidRPr="00EF41FA">
                                    <w:rPr>
                                      <w:rFonts w:ascii="ＭＳ 明朝" w:eastAsia="ＭＳ 明朝" w:hAnsi="ＭＳ 明朝" w:hint="eastAsia"/>
                                      <w:sz w:val="24"/>
                                      <w:szCs w:val="24"/>
                                    </w:rPr>
                                    <w:t>項目</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Pr>
                                      <w:rFonts w:ascii="ＭＳ 明朝" w:eastAsia="ＭＳ 明朝" w:hAnsi="ＭＳ 明朝" w:hint="eastAsia"/>
                                      <w:sz w:val="24"/>
                                      <w:szCs w:val="24"/>
                                    </w:rPr>
                                    <w:t>有害物質を使用する全ての</w:t>
                                  </w:r>
                                  <w:r w:rsidRPr="00EF41FA">
                                    <w:rPr>
                                      <w:rFonts w:ascii="ＭＳ 明朝" w:eastAsia="ＭＳ 明朝" w:hAnsi="ＭＳ 明朝" w:hint="eastAsia"/>
                                      <w:sz w:val="24"/>
                                      <w:szCs w:val="24"/>
                                    </w:rPr>
                                    <w:t>事業場【</w:t>
                                  </w:r>
                                  <w:r>
                                    <w:rPr>
                                      <w:rFonts w:ascii="ＭＳ 明朝" w:eastAsia="ＭＳ 明朝" w:hAnsi="ＭＳ 明朝" w:hint="eastAsia"/>
                                      <w:sz w:val="24"/>
                                      <w:szCs w:val="24"/>
                                    </w:rPr>
                                    <w:t>602事業</w:t>
                                  </w:r>
                                  <w:r w:rsidRPr="00EF41FA">
                                    <w:rPr>
                                      <w:rFonts w:ascii="ＭＳ 明朝" w:eastAsia="ＭＳ 明朝" w:hAnsi="ＭＳ 明朝" w:hint="eastAsia"/>
                                      <w:sz w:val="24"/>
                                      <w:szCs w:val="24"/>
                                    </w:rPr>
                                    <w:t>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（府：136事業場、政令市：364事業場、権限移譲市町村：102事業場）</w:t>
                                  </w:r>
                                </w:p>
                                <w:p w:rsidR="00933DBF" w:rsidRPr="00EF41FA" w:rsidRDefault="00933DBF" w:rsidP="00933DBF">
                                  <w:pPr>
                                    <w:snapToGrid w:val="0"/>
                                    <w:ind w:firstLineChars="200" w:firstLine="480"/>
                                    <w:rPr>
                                      <w:rFonts w:ascii="ＭＳ 明朝" w:eastAsia="ＭＳ 明朝" w:hAnsi="ＭＳ 明朝"/>
                                      <w:sz w:val="24"/>
                                      <w:szCs w:val="24"/>
                                    </w:rPr>
                                  </w:pPr>
                                  <w:r w:rsidRPr="00C72780">
                                    <w:rPr>
                                      <w:rFonts w:ascii="ＭＳ ゴシック" w:eastAsia="ＭＳ ゴシック" w:hAnsi="ＭＳ ゴシック"/>
                                      <w:sz w:val="24"/>
                                      <w:szCs w:val="24"/>
                                    </w:rPr>
                                    <w:t></w:t>
                                  </w:r>
                                  <w:r w:rsidRPr="00C72780">
                                    <w:rPr>
                                      <w:rFonts w:ascii="ＭＳ ゴシック" w:eastAsia="ＭＳ ゴシック" w:hAnsi="ＭＳ ゴシック" w:hint="eastAsia"/>
                                      <w:sz w:val="24"/>
                                      <w:szCs w:val="24"/>
                                    </w:rPr>
                                    <w:t>総量規制</w:t>
                                  </w:r>
                                  <w:r w:rsidRPr="00EF41FA">
                                    <w:rPr>
                                      <w:rFonts w:ascii="ＭＳ 明朝" w:eastAsia="ＭＳ 明朝" w:hAnsi="ＭＳ 明朝" w:hint="eastAsia"/>
                                      <w:sz w:val="24"/>
                                      <w:szCs w:val="24"/>
                                    </w:rPr>
                                    <w:t>（汚濁負荷量（排出する汚濁物質の総量（濃度×排水量））を規制）</w:t>
                                  </w:r>
                                </w:p>
                                <w:p w:rsidR="00933DBF" w:rsidRPr="00E84A96"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sidRPr="00E84A96">
                                    <w:rPr>
                                      <w:rFonts w:ascii="ＭＳ 明朝" w:eastAsia="ＭＳ 明朝" w:hAnsi="ＭＳ 明朝" w:hint="eastAsia"/>
                                      <w:sz w:val="24"/>
                                      <w:szCs w:val="24"/>
                                    </w:rPr>
                                    <w:t>平均排水量</w:t>
                                  </w:r>
                                  <w:r w:rsidRPr="00E84A96">
                                    <w:rPr>
                                      <w:rFonts w:ascii="ＭＳ 明朝" w:eastAsia="ＭＳ 明朝" w:hAnsi="ＭＳ 明朝"/>
                                      <w:sz w:val="24"/>
                                      <w:szCs w:val="24"/>
                                    </w:rPr>
                                    <w:t>50</w:t>
                                  </w:r>
                                  <w:r w:rsidRPr="00E84A96">
                                    <w:rPr>
                                      <w:rFonts w:ascii="ＭＳ 明朝" w:eastAsia="ＭＳ 明朝" w:hAnsi="ＭＳ 明朝" w:hint="eastAsia"/>
                                      <w:sz w:val="24"/>
                                      <w:szCs w:val="24"/>
                                    </w:rPr>
                                    <w:t>㎥／日以上の</w:t>
                                  </w:r>
                                  <w:r>
                                    <w:rPr>
                                      <w:rFonts w:ascii="ＭＳ 明朝" w:eastAsia="ＭＳ 明朝" w:hAnsi="ＭＳ 明朝" w:hint="eastAsia"/>
                                      <w:sz w:val="24"/>
                                      <w:szCs w:val="24"/>
                                    </w:rPr>
                                    <w:t>法対象</w:t>
                                  </w:r>
                                  <w:r w:rsidRPr="00E84A96">
                                    <w:rPr>
                                      <w:rFonts w:ascii="ＭＳ 明朝" w:eastAsia="ＭＳ 明朝" w:hAnsi="ＭＳ 明朝" w:hint="eastAsia"/>
                                      <w:sz w:val="24"/>
                                      <w:szCs w:val="24"/>
                                    </w:rPr>
                                    <w:t>事業場【448事業場】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（府：199事業場、政令市：194事業場、権限移譲市町村：55事業場）</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〔項目〕</w:t>
                                  </w:r>
                                  <w:r w:rsidRPr="00EF41FA">
                                    <w:rPr>
                                      <w:rFonts w:ascii="ＭＳ 明朝" w:eastAsia="ＭＳ 明朝" w:hAnsi="ＭＳ 明朝" w:hint="eastAsia"/>
                                      <w:sz w:val="24"/>
                                      <w:szCs w:val="24"/>
                                    </w:rPr>
                                    <w:t>COD、窒素、りん</w:t>
                                  </w:r>
                                </w:p>
                                <w:p w:rsidR="00933DBF" w:rsidRDefault="00933DBF" w:rsidP="00933DBF">
                                  <w:pPr>
                                    <w:snapToGri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※府域の規制指導は、府、政令市（法で権限を移譲：11市）、権限移譲市町村（府が条例で権限移譲：17市町村）により実施</w:t>
                                  </w:r>
                                </w:p>
                                <w:p w:rsidR="00933DBF" w:rsidRPr="00EF41FA" w:rsidRDefault="00933DBF" w:rsidP="00933DBF">
                                  <w:pPr>
                                    <w:snapToGrid w:val="0"/>
                                    <w:spacing w:beforeLines="20" w:before="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F41FA">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015</w:t>
                                  </w:r>
                                  <w:r w:rsidRPr="00EF41FA">
                                    <w:rPr>
                                      <w:rFonts w:ascii="ＭＳ ゴシック" w:eastAsia="ＭＳ ゴシック" w:hAnsi="ＭＳ ゴシック" w:hint="eastAsia"/>
                                      <w:sz w:val="24"/>
                                      <w:szCs w:val="24"/>
                                    </w:rPr>
                                    <w:t>年度の実績（取組指標に対する結果）】</w:t>
                                  </w:r>
                                  <w:r>
                                    <w:rPr>
                                      <w:rFonts w:ascii="ＭＳ ゴシック" w:eastAsia="ＭＳ ゴシック" w:hAnsi="ＭＳ ゴシック" w:hint="eastAsia"/>
                                      <w:sz w:val="24"/>
                                      <w:szCs w:val="24"/>
                                    </w:rPr>
                                    <w:t>（府の実績）</w:t>
                                  </w:r>
                                </w:p>
                                <w:p w:rsidR="009C3938" w:rsidRDefault="00933DBF" w:rsidP="004B444B">
                                  <w:pPr>
                                    <w:snapToGri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・排水基準が適用される事業場等に対して、</w:t>
                                  </w:r>
                                  <w:r w:rsidRPr="00EF41FA">
                                    <w:rPr>
                                      <w:rFonts w:ascii="ＭＳ 明朝" w:eastAsia="ＭＳ 明朝" w:hAnsi="ＭＳ 明朝" w:hint="eastAsia"/>
                                      <w:sz w:val="24"/>
                                      <w:szCs w:val="24"/>
                                    </w:rPr>
                                    <w:t>立入検査</w:t>
                                  </w:r>
                                  <w:r>
                                    <w:rPr>
                                      <w:rFonts w:ascii="ＭＳ 明朝" w:eastAsia="ＭＳ 明朝" w:hAnsi="ＭＳ 明朝" w:hint="eastAsia"/>
                                      <w:sz w:val="24"/>
                                      <w:szCs w:val="24"/>
                                    </w:rPr>
                                    <w:t>（採水を含む）</w:t>
                                  </w:r>
                                  <w:r w:rsidRPr="00EF41FA">
                                    <w:rPr>
                                      <w:rFonts w:ascii="ＭＳ 明朝" w:eastAsia="ＭＳ 明朝" w:hAnsi="ＭＳ 明朝" w:hint="eastAsia"/>
                                      <w:sz w:val="24"/>
                                      <w:szCs w:val="24"/>
                                    </w:rPr>
                                    <w:t>を</w:t>
                                  </w:r>
                                  <w:r>
                                    <w:rPr>
                                      <w:rFonts w:ascii="ＭＳ 明朝" w:eastAsia="ＭＳ 明朝" w:hAnsi="ＭＳ 明朝" w:hint="eastAsia"/>
                                      <w:sz w:val="24"/>
                                      <w:szCs w:val="24"/>
                                    </w:rPr>
                                    <w:t>のべ805</w:t>
                                  </w:r>
                                  <w:r w:rsidRPr="00A33B79">
                                    <w:rPr>
                                      <w:rFonts w:ascii="ＭＳ 明朝" w:eastAsia="ＭＳ 明朝" w:hAnsi="ＭＳ 明朝" w:hint="eastAsia"/>
                                      <w:sz w:val="24"/>
                                      <w:szCs w:val="24"/>
                                    </w:rPr>
                                    <w:t>回実施</w:t>
                                  </w:r>
                                </w:p>
                                <w:p w:rsidR="00933DBF" w:rsidRPr="00A33B79" w:rsidRDefault="00933DBF" w:rsidP="009C3938">
                                  <w:pPr>
                                    <w:snapToGrid w:val="0"/>
                                    <w:ind w:leftChars="200" w:left="420"/>
                                    <w:rPr>
                                      <w:rFonts w:ascii="ＭＳ 明朝" w:eastAsia="ＭＳ 明朝" w:hAnsi="ＭＳ 明朝"/>
                                      <w:sz w:val="24"/>
                                      <w:szCs w:val="24"/>
                                    </w:rPr>
                                  </w:pPr>
                                  <w:r w:rsidRPr="00A33B79">
                                    <w:rPr>
                                      <w:rFonts w:ascii="ＭＳ 明朝" w:eastAsia="ＭＳ 明朝" w:hAnsi="ＭＳ 明朝" w:hint="eastAsia"/>
                                      <w:sz w:val="24"/>
                                      <w:szCs w:val="24"/>
                                    </w:rPr>
                                    <w:t>（試料採取・分析件数：</w:t>
                                  </w:r>
                                  <w:r>
                                    <w:rPr>
                                      <w:rFonts w:ascii="ＭＳ 明朝" w:eastAsia="ＭＳ 明朝" w:hAnsi="ＭＳ 明朝" w:hint="eastAsia"/>
                                      <w:sz w:val="24"/>
                                      <w:szCs w:val="24"/>
                                    </w:rPr>
                                    <w:t>32</w:t>
                                  </w:r>
                                  <w:r w:rsidRPr="00A33B79">
                                    <w:rPr>
                                      <w:rFonts w:ascii="ＭＳ 明朝" w:eastAsia="ＭＳ 明朝" w:hAnsi="ＭＳ 明朝" w:hint="eastAsia"/>
                                      <w:sz w:val="24"/>
                                      <w:szCs w:val="24"/>
                                    </w:rPr>
                                    <w:t>1件）</w:t>
                                  </w:r>
                                </w:p>
                                <w:p w:rsidR="009C3938" w:rsidRDefault="00933DBF" w:rsidP="004B444B">
                                  <w:pPr>
                                    <w:snapToGrid w:val="0"/>
                                    <w:ind w:leftChars="100" w:left="450" w:hangingChars="100" w:hanging="240"/>
                                    <w:rPr>
                                      <w:rFonts w:ascii="ＭＳ 明朝" w:eastAsia="ＭＳ 明朝" w:hAnsi="ＭＳ 明朝"/>
                                      <w:sz w:val="24"/>
                                      <w:szCs w:val="24"/>
                                    </w:rPr>
                                  </w:pPr>
                                  <w:r w:rsidRPr="00A33B79">
                                    <w:rPr>
                                      <w:rFonts w:ascii="ＭＳ 明朝" w:eastAsia="ＭＳ 明朝" w:hAnsi="ＭＳ 明朝" w:hint="eastAsia"/>
                                      <w:sz w:val="24"/>
                                      <w:szCs w:val="24"/>
                                    </w:rPr>
                                    <w:t>・立入検査の結果に基づき、必要に応じて改善指導を行い、基準の遵守徹底を図った</w:t>
                                  </w:r>
                                  <w:r w:rsidR="009C3938">
                                    <w:rPr>
                                      <w:rFonts w:ascii="ＭＳ 明朝" w:eastAsia="ＭＳ 明朝" w:hAnsi="ＭＳ 明朝" w:hint="eastAsia"/>
                                      <w:sz w:val="24"/>
                                      <w:szCs w:val="24"/>
                                    </w:rPr>
                                    <w:t>。</w:t>
                                  </w:r>
                                </w:p>
                                <w:p w:rsidR="00933DBF" w:rsidRDefault="00933DBF" w:rsidP="009C3938">
                                  <w:pPr>
                                    <w:snapToGrid w:val="0"/>
                                    <w:ind w:leftChars="200" w:left="420"/>
                                    <w:rPr>
                                      <w:rFonts w:ascii="ＭＳ 明朝" w:eastAsia="ＭＳ 明朝" w:hAnsi="ＭＳ 明朝"/>
                                      <w:sz w:val="24"/>
                                      <w:szCs w:val="24"/>
                                    </w:rPr>
                                  </w:pPr>
                                  <w:r w:rsidRPr="00A33B79">
                                    <w:rPr>
                                      <w:rFonts w:ascii="ＭＳ 明朝" w:eastAsia="ＭＳ 明朝" w:hAnsi="ＭＳ 明朝" w:hint="eastAsia"/>
                                      <w:sz w:val="24"/>
                                      <w:szCs w:val="24"/>
                                    </w:rPr>
                                    <w:t>（排水基準超過等に対し、文書指導等を計37件実施）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9" type="#_x0000_t65" style="position:absolute;left:0;text-align:left;margin-left:.25pt;margin-top:-.5pt;width:502.25pt;height:44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" adj="21232" filled="f" stroked="f">
                      <v:textbox inset="5.85pt,.7pt,5.85pt,.7pt">
                        <w:txbxContent>
                          <w:p w:rsidR="00933DBF" w:rsidRPr="00B37AA2" w:rsidRDefault="00933DBF" w:rsidP="00933DBF">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事業の内容及び取組状況</w:t>
                            </w:r>
                          </w:p>
                          <w:p w:rsidR="00933DBF" w:rsidRPr="00B37AA2" w:rsidRDefault="00933DBF" w:rsidP="00933DBF">
                            <w:pPr>
                              <w:rPr>
                                <w:rFonts w:ascii="ＭＳ ゴシック" w:eastAsia="ＭＳ ゴシック" w:hAnsi="ＭＳ ゴシック"/>
                                <w:b/>
                                <w:color w:val="000000" w:themeColor="text1"/>
                                <w:sz w:val="24"/>
                                <w:szCs w:val="24"/>
                              </w:rPr>
                            </w:pPr>
                            <w:r w:rsidRPr="00B37AA2">
                              <w:rPr>
                                <w:rFonts w:ascii="ＭＳ ゴシック" w:eastAsia="ＭＳ ゴシック" w:hAnsi="ＭＳ ゴシック" w:hint="eastAsia"/>
                                <w:b/>
                                <w:sz w:val="24"/>
                                <w:szCs w:val="24"/>
                              </w:rPr>
                              <w:t>●水質汚濁防止の事業</w:t>
                            </w:r>
                            <w:r w:rsidR="00A71936">
                              <w:rPr>
                                <w:rFonts w:ascii="ＭＳ ゴシック" w:eastAsia="ＭＳ ゴシック" w:hAnsi="ＭＳ ゴシック" w:hint="eastAsia"/>
                                <w:b/>
                                <w:sz w:val="24"/>
                                <w:szCs w:val="24"/>
                              </w:rPr>
                              <w:t>場</w:t>
                            </w:r>
                            <w:r w:rsidRPr="00B37AA2">
                              <w:rPr>
                                <w:rFonts w:ascii="ＭＳ ゴシック" w:eastAsia="ＭＳ ゴシック" w:hAnsi="ＭＳ ゴシック" w:hint="eastAsia"/>
                                <w:b/>
                                <w:color w:val="000000" w:themeColor="text1"/>
                                <w:sz w:val="24"/>
                                <w:szCs w:val="24"/>
                              </w:rPr>
                              <w:t>規制</w:t>
                            </w:r>
                          </w:p>
                          <w:p w:rsidR="00933DBF" w:rsidRPr="00EF41FA" w:rsidRDefault="00933DBF" w:rsidP="00933DBF">
                            <w:pPr>
                              <w:snapToGrid w:val="0"/>
                              <w:rPr>
                                <w:rFonts w:ascii="ＭＳ 明朝" w:eastAsia="ＭＳ 明朝" w:hAnsi="ＭＳ 明朝"/>
                                <w:sz w:val="24"/>
                                <w:szCs w:val="24"/>
                              </w:rPr>
                            </w:pPr>
                            <w:r w:rsidRPr="00EF41FA">
                              <w:rPr>
                                <w:rFonts w:ascii="ＭＳ ゴシック" w:eastAsia="ＭＳ ゴシック" w:hAnsi="ＭＳ ゴシック" w:hint="eastAsia"/>
                                <w:sz w:val="24"/>
                                <w:szCs w:val="24"/>
                              </w:rPr>
                              <w:t>【規制指導の概要】</w:t>
                            </w:r>
                            <w:r w:rsidRPr="00EF41FA">
                              <w:rPr>
                                <w:rFonts w:ascii="ＭＳ 明朝" w:eastAsia="ＭＳ 明朝" w:hAnsi="ＭＳ 明朝" w:hint="eastAsia"/>
                                <w:sz w:val="24"/>
                                <w:szCs w:val="24"/>
                              </w:rPr>
                              <w:t>（事業</w:t>
                            </w:r>
                            <w:r w:rsidRPr="002F5B3D">
                              <w:rPr>
                                <w:rFonts w:ascii="ＭＳ 明朝" w:eastAsia="ＭＳ 明朝" w:hAnsi="ＭＳ 明朝" w:hint="eastAsia"/>
                                <w:color w:val="000000" w:themeColor="text1"/>
                                <w:sz w:val="24"/>
                                <w:szCs w:val="24"/>
                              </w:rPr>
                              <w:t>場</w:t>
                            </w:r>
                            <w:r w:rsidRPr="00EF41FA">
                              <w:rPr>
                                <w:rFonts w:ascii="ＭＳ 明朝" w:eastAsia="ＭＳ 明朝" w:hAnsi="ＭＳ 明朝" w:hint="eastAsia"/>
                                <w:sz w:val="24"/>
                                <w:szCs w:val="24"/>
                              </w:rPr>
                              <w:t>数は</w:t>
                            </w:r>
                            <w:r>
                              <w:rPr>
                                <w:rFonts w:ascii="ＭＳ 明朝" w:eastAsia="ＭＳ 明朝" w:hAnsi="ＭＳ 明朝" w:hint="eastAsia"/>
                                <w:sz w:val="24"/>
                                <w:szCs w:val="24"/>
                              </w:rPr>
                              <w:t>2015</w:t>
                            </w:r>
                            <w:r w:rsidRPr="00EF41FA">
                              <w:rPr>
                                <w:rFonts w:ascii="ＭＳ 明朝" w:eastAsia="ＭＳ 明朝" w:hAnsi="ＭＳ 明朝" w:hint="eastAsia"/>
                                <w:sz w:val="24"/>
                                <w:szCs w:val="24"/>
                              </w:rPr>
                              <w:t>年度末）</w:t>
                            </w:r>
                          </w:p>
                          <w:p w:rsidR="00933DBF" w:rsidRPr="00C72780" w:rsidRDefault="00933DBF" w:rsidP="00933DBF">
                            <w:pPr>
                              <w:snapToGrid w:val="0"/>
                              <w:ind w:firstLineChars="100" w:firstLine="240"/>
                              <w:rPr>
                                <w:rFonts w:ascii="ＭＳ ゴシック" w:eastAsia="ＭＳ ゴシック" w:hAnsi="ＭＳ ゴシック"/>
                                <w:sz w:val="24"/>
                                <w:szCs w:val="24"/>
                              </w:rPr>
                            </w:pPr>
                            <w:r w:rsidRPr="00C72780">
                              <w:rPr>
                                <w:rFonts w:ascii="ＭＳ ゴシック" w:eastAsia="ＭＳ ゴシック" w:hAnsi="ＭＳ ゴシック" w:hint="eastAsia"/>
                                <w:sz w:val="24"/>
                                <w:szCs w:val="24"/>
                              </w:rPr>
                              <w:t>○施設の設置等の規制</w:t>
                            </w:r>
                          </w:p>
                          <w:p w:rsidR="00933DBF" w:rsidRPr="00EF41FA" w:rsidRDefault="00933DBF" w:rsidP="00933DBF">
                            <w:pPr>
                              <w:snapToGrid w:val="0"/>
                              <w:ind w:leftChars="200" w:left="1620" w:hangingChars="500" w:hanging="1200"/>
                              <w:rPr>
                                <w:rFonts w:ascii="ＭＳ 明朝" w:eastAsia="ＭＳ 明朝" w:hAnsi="ＭＳ 明朝"/>
                                <w:sz w:val="24"/>
                                <w:szCs w:val="24"/>
                              </w:rPr>
                            </w:pPr>
                            <w:r>
                              <w:rPr>
                                <w:rFonts w:ascii="ＭＳ 明朝" w:eastAsia="ＭＳ 明朝" w:hAnsi="ＭＳ 明朝" w:hint="eastAsia"/>
                                <w:sz w:val="24"/>
                                <w:szCs w:val="24"/>
                              </w:rPr>
                              <w:t>法・条例対象</w:t>
                            </w:r>
                            <w:r w:rsidRPr="00EF41FA">
                              <w:rPr>
                                <w:rFonts w:ascii="ＭＳ 明朝" w:eastAsia="ＭＳ 明朝" w:hAnsi="ＭＳ 明朝" w:hint="eastAsia"/>
                                <w:sz w:val="24"/>
                                <w:szCs w:val="24"/>
                              </w:rPr>
                              <w:t>施設の設置・変更を行う事業</w:t>
                            </w:r>
                            <w:r>
                              <w:rPr>
                                <w:rFonts w:ascii="ＭＳ 明朝" w:eastAsia="ＭＳ 明朝" w:hAnsi="ＭＳ 明朝" w:hint="eastAsia"/>
                                <w:sz w:val="24"/>
                                <w:szCs w:val="24"/>
                              </w:rPr>
                              <w:t>場</w:t>
                            </w:r>
                            <w:r w:rsidRPr="00EF41FA">
                              <w:rPr>
                                <w:rFonts w:ascii="ＭＳ 明朝" w:eastAsia="ＭＳ 明朝" w:hAnsi="ＭＳ 明朝" w:hint="eastAsia"/>
                                <w:sz w:val="24"/>
                                <w:szCs w:val="24"/>
                              </w:rPr>
                              <w:t>は、以下の手続が必要</w:t>
                            </w:r>
                          </w:p>
                          <w:p w:rsidR="00933DBF" w:rsidRPr="00EF41FA" w:rsidRDefault="00933DBF" w:rsidP="00933DBF">
                            <w:pPr>
                              <w:snapToGrid w:val="0"/>
                              <w:ind w:leftChars="200" w:left="1620" w:hangingChars="500" w:hanging="1200"/>
                              <w:rPr>
                                <w:rFonts w:ascii="ＭＳ 明朝" w:eastAsia="ＭＳ 明朝" w:hAnsi="ＭＳ 明朝"/>
                                <w:sz w:val="24"/>
                                <w:szCs w:val="24"/>
                              </w:rPr>
                            </w:pPr>
                            <w:r w:rsidRPr="00C72780">
                              <w:rPr>
                                <w:rFonts w:ascii="ＭＳ ゴシック" w:eastAsia="ＭＳ ゴシック" w:hAnsi="ＭＳ ゴシック" w:hint="eastAsia"/>
                                <w:sz w:val="24"/>
                                <w:szCs w:val="24"/>
                              </w:rPr>
                              <w:t>・届出</w:t>
                            </w:r>
                            <w:r w:rsidRPr="00EF41FA">
                              <w:rPr>
                                <w:rFonts w:ascii="ＭＳ 明朝" w:eastAsia="ＭＳ 明朝" w:hAnsi="ＭＳ 明朝" w:hint="eastAsia"/>
                                <w:sz w:val="24"/>
                                <w:szCs w:val="24"/>
                              </w:rPr>
                              <w:t xml:space="preserve">　　水質汚濁防止法</w:t>
                            </w:r>
                            <w:r>
                              <w:rPr>
                                <w:rFonts w:ascii="ＭＳ 明朝" w:eastAsia="ＭＳ 明朝" w:hAnsi="ＭＳ 明朝" w:hint="eastAsia"/>
                                <w:sz w:val="24"/>
                                <w:szCs w:val="24"/>
                              </w:rPr>
                              <w:t>及び府生活環境保全</w:t>
                            </w:r>
                            <w:r w:rsidRPr="00EF41FA">
                              <w:rPr>
                                <w:rFonts w:ascii="ＭＳ 明朝" w:eastAsia="ＭＳ 明朝" w:hAnsi="ＭＳ 明朝" w:hint="eastAsia"/>
                                <w:sz w:val="24"/>
                                <w:szCs w:val="24"/>
                              </w:rPr>
                              <w:t>条例に基づく届出</w:t>
                            </w:r>
                          </w:p>
                          <w:p w:rsidR="00933DBF" w:rsidRPr="00EF41FA" w:rsidRDefault="00933DBF" w:rsidP="00933DBF">
                            <w:pPr>
                              <w:snapToGrid w:val="0"/>
                              <w:ind w:leftChars="200" w:left="1620" w:hangingChars="500" w:hanging="1200"/>
                              <w:rPr>
                                <w:rFonts w:ascii="ＭＳ 明朝" w:eastAsia="ＭＳ 明朝" w:hAnsi="ＭＳ 明朝"/>
                                <w:sz w:val="24"/>
                                <w:szCs w:val="24"/>
                              </w:rPr>
                            </w:pPr>
                            <w:r w:rsidRPr="00C72780">
                              <w:rPr>
                                <w:rFonts w:ascii="ＭＳ ゴシック" w:eastAsia="ＭＳ ゴシック" w:hAnsi="ＭＳ ゴシック" w:hint="eastAsia"/>
                                <w:sz w:val="24"/>
                                <w:szCs w:val="24"/>
                              </w:rPr>
                              <w:t>・許可</w:t>
                            </w:r>
                            <w:r w:rsidRPr="00EF41FA">
                              <w:rPr>
                                <w:rFonts w:ascii="ＭＳ 明朝" w:eastAsia="ＭＳ 明朝" w:hAnsi="ＭＳ 明朝" w:hint="eastAsia"/>
                                <w:sz w:val="24"/>
                                <w:szCs w:val="24"/>
                              </w:rPr>
                              <w:t xml:space="preserve">　　</w:t>
                            </w:r>
                            <w:r>
                              <w:rPr>
                                <w:rFonts w:ascii="ＭＳ 明朝" w:eastAsia="ＭＳ 明朝" w:hAnsi="ＭＳ 明朝" w:hint="eastAsia"/>
                                <w:sz w:val="24"/>
                                <w:szCs w:val="24"/>
                              </w:rPr>
                              <w:t>法</w:t>
                            </w:r>
                            <w:r w:rsidRPr="00EF41FA">
                              <w:rPr>
                                <w:rFonts w:ascii="ＭＳ 明朝" w:eastAsia="ＭＳ 明朝" w:hAnsi="ＭＳ 明朝" w:hint="eastAsia"/>
                                <w:sz w:val="24"/>
                                <w:szCs w:val="24"/>
                              </w:rPr>
                              <w:t>対象事業場のうち、最大排水量</w:t>
                            </w:r>
                            <w:r w:rsidRPr="00EF41FA">
                              <w:rPr>
                                <w:rFonts w:ascii="ＭＳ 明朝" w:eastAsia="ＭＳ 明朝" w:hAnsi="ＭＳ 明朝"/>
                                <w:sz w:val="24"/>
                                <w:szCs w:val="24"/>
                              </w:rPr>
                              <w:t>50</w:t>
                            </w:r>
                            <w:r w:rsidRPr="00EF41FA">
                              <w:rPr>
                                <w:rFonts w:ascii="ＭＳ 明朝" w:eastAsia="ＭＳ 明朝" w:hAnsi="ＭＳ 明朝" w:hint="eastAsia"/>
                                <w:sz w:val="24"/>
                                <w:szCs w:val="24"/>
                              </w:rPr>
                              <w:t>㎥／日以上の事業場では、瀬戸内海環境保全特別措置法に基づく許可</w:t>
                            </w:r>
                          </w:p>
                          <w:p w:rsidR="00933DBF" w:rsidRPr="00C72780" w:rsidRDefault="00933DBF" w:rsidP="00933DBF">
                            <w:pPr>
                              <w:snapToGrid w:val="0"/>
                              <w:ind w:firstLineChars="100" w:firstLine="240"/>
                              <w:rPr>
                                <w:rFonts w:ascii="ＭＳ ゴシック" w:eastAsia="ＭＳ ゴシック" w:hAnsi="ＭＳ ゴシック"/>
                                <w:sz w:val="24"/>
                                <w:szCs w:val="24"/>
                              </w:rPr>
                            </w:pPr>
                            <w:r w:rsidRPr="00C72780">
                              <w:rPr>
                                <w:rFonts w:ascii="ＭＳ ゴシック" w:eastAsia="ＭＳ ゴシック" w:hAnsi="ＭＳ ゴシック" w:hint="eastAsia"/>
                                <w:sz w:val="24"/>
                                <w:szCs w:val="24"/>
                              </w:rPr>
                              <w:t>○排出水の規制</w:t>
                            </w:r>
                          </w:p>
                          <w:p w:rsidR="00933DBF" w:rsidRDefault="00933DBF" w:rsidP="00933DBF">
                            <w:pPr>
                              <w:snapToGrid w:val="0"/>
                              <w:rPr>
                                <w:rFonts w:ascii="ＭＳ 明朝" w:eastAsia="ＭＳ 明朝" w:hAnsi="ＭＳ 明朝"/>
                                <w:sz w:val="24"/>
                                <w:szCs w:val="24"/>
                              </w:rPr>
                            </w:pPr>
                            <w:r w:rsidRPr="00EF41FA">
                              <w:rPr>
                                <w:rFonts w:ascii="ＭＳ 明朝" w:eastAsia="ＭＳ 明朝" w:hAnsi="ＭＳ 明朝" w:hint="eastAsia"/>
                                <w:sz w:val="24"/>
                                <w:szCs w:val="24"/>
                              </w:rPr>
                              <w:t xml:space="preserve">　　</w:t>
                            </w:r>
                            <w:r w:rsidRPr="00C72780">
                              <w:rPr>
                                <w:rFonts w:ascii="ＭＳ ゴシック" w:eastAsia="ＭＳ ゴシック" w:hAnsi="ＭＳ ゴシック"/>
                                <w:sz w:val="24"/>
                                <w:szCs w:val="24"/>
                              </w:rPr>
                              <w:t></w:t>
                            </w:r>
                            <w:r w:rsidRPr="00C72780">
                              <w:rPr>
                                <w:rFonts w:ascii="ＭＳ ゴシック" w:eastAsia="ＭＳ ゴシック" w:hAnsi="ＭＳ ゴシック" w:hint="eastAsia"/>
                                <w:sz w:val="24"/>
                                <w:szCs w:val="24"/>
                              </w:rPr>
                              <w:t>濃度規制</w:t>
                            </w:r>
                            <w:r w:rsidRPr="00EF41FA">
                              <w:rPr>
                                <w:rFonts w:ascii="ＭＳ 明朝" w:eastAsia="ＭＳ 明朝" w:hAnsi="ＭＳ 明朝" w:hint="eastAsia"/>
                                <w:sz w:val="24"/>
                                <w:szCs w:val="24"/>
                              </w:rPr>
                              <w:t>（</w:t>
                            </w:r>
                            <w:r>
                              <w:rPr>
                                <w:rFonts w:ascii="ＭＳ 明朝" w:eastAsia="ＭＳ 明朝" w:hAnsi="ＭＳ 明朝" w:hint="eastAsia"/>
                                <w:sz w:val="24"/>
                                <w:szCs w:val="24"/>
                              </w:rPr>
                              <w:t>河川等への</w:t>
                            </w:r>
                            <w:r w:rsidRPr="00EF41FA">
                              <w:rPr>
                                <w:rFonts w:ascii="ＭＳ 明朝" w:eastAsia="ＭＳ 明朝" w:hAnsi="ＭＳ 明朝" w:hint="eastAsia"/>
                                <w:sz w:val="24"/>
                                <w:szCs w:val="24"/>
                              </w:rPr>
                              <w:t>排出水の濃度を規制（排水基準））</w:t>
                            </w:r>
                          </w:p>
                          <w:p w:rsidR="00933DBF" w:rsidRPr="00EF41FA" w:rsidRDefault="00933DBF" w:rsidP="00933DB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1C3061">
                              <w:rPr>
                                <w:rFonts w:ascii="ＭＳ ゴシック" w:eastAsia="ＭＳ ゴシック" w:hAnsi="ＭＳ ゴシック" w:hint="eastAsia"/>
                                <w:sz w:val="24"/>
                                <w:szCs w:val="24"/>
                              </w:rPr>
                              <w:t>＜生活環境項目＞</w:t>
                            </w:r>
                            <w:r w:rsidRPr="00EF41FA">
                              <w:rPr>
                                <w:rFonts w:ascii="ＭＳ 明朝" w:eastAsia="ＭＳ 明朝" w:hAnsi="ＭＳ 明朝" w:hint="eastAsia"/>
                                <w:sz w:val="24"/>
                                <w:szCs w:val="24"/>
                              </w:rPr>
                              <w:t>pH、BOD、COD、SS等15項目</w:t>
                            </w:r>
                            <w:r>
                              <w:rPr>
                                <w:rFonts w:ascii="ＭＳ 明朝" w:eastAsia="ＭＳ 明朝" w:hAnsi="ＭＳ 明朝" w:hint="eastAsia"/>
                                <w:sz w:val="24"/>
                                <w:szCs w:val="24"/>
                              </w:rPr>
                              <w:t xml:space="preserve">　</w:t>
                            </w:r>
                            <w:r w:rsidRPr="00EF41F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EF41FA">
                              <w:rPr>
                                <w:rFonts w:ascii="ＭＳ 明朝" w:eastAsia="ＭＳ 明朝" w:hAnsi="ＭＳ 明朝" w:hint="eastAsia"/>
                                <w:sz w:val="24"/>
                                <w:szCs w:val="24"/>
                              </w:rPr>
                              <w:t>色・臭気</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sidRPr="00EF41FA">
                              <w:rPr>
                                <w:rFonts w:ascii="ＭＳ 明朝" w:eastAsia="ＭＳ 明朝" w:hAnsi="ＭＳ 明朝" w:hint="eastAsia"/>
                                <w:sz w:val="24"/>
                                <w:szCs w:val="24"/>
                              </w:rPr>
                              <w:t>平均排水量</w:t>
                            </w:r>
                            <w:r w:rsidRPr="00EF41FA">
                              <w:rPr>
                                <w:rFonts w:ascii="ＭＳ 明朝" w:eastAsia="ＭＳ 明朝" w:hAnsi="ＭＳ 明朝"/>
                                <w:sz w:val="24"/>
                                <w:szCs w:val="24"/>
                              </w:rPr>
                              <w:t>30</w:t>
                            </w:r>
                            <w:r w:rsidRPr="00EF41FA">
                              <w:rPr>
                                <w:rFonts w:ascii="ＭＳ 明朝" w:eastAsia="ＭＳ 明朝" w:hAnsi="ＭＳ 明朝" w:hint="eastAsia"/>
                                <w:sz w:val="24"/>
                                <w:szCs w:val="24"/>
                              </w:rPr>
                              <w:t>㎥／日以上の事業場【</w:t>
                            </w:r>
                            <w:r>
                              <w:rPr>
                                <w:rFonts w:ascii="ＭＳ 明朝" w:eastAsia="ＭＳ 明朝" w:hAnsi="ＭＳ 明朝" w:hint="eastAsia"/>
                                <w:sz w:val="24"/>
                                <w:szCs w:val="24"/>
                              </w:rPr>
                              <w:t>726事業</w:t>
                            </w:r>
                            <w:r w:rsidRPr="00EF41FA">
                              <w:rPr>
                                <w:rFonts w:ascii="ＭＳ 明朝" w:eastAsia="ＭＳ 明朝" w:hAnsi="ＭＳ 明朝" w:hint="eastAsia"/>
                                <w:sz w:val="24"/>
                                <w:szCs w:val="24"/>
                              </w:rPr>
                              <w:t>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（府：237事業場、政令市：302事業場、権限移譲市町村：187事業場）</w:t>
                            </w:r>
                          </w:p>
                          <w:p w:rsidR="00933DBF" w:rsidRPr="00EF41FA" w:rsidRDefault="00933DBF" w:rsidP="00933DBF">
                            <w:pPr>
                              <w:snapToGrid w:val="0"/>
                              <w:ind w:firstLineChars="900" w:firstLine="2160"/>
                              <w:rPr>
                                <w:rFonts w:ascii="ＭＳ 明朝" w:eastAsia="ＭＳ 明朝" w:hAnsi="ＭＳ 明朝"/>
                                <w:sz w:val="24"/>
                                <w:szCs w:val="24"/>
                              </w:rPr>
                            </w:pPr>
                            <w:r w:rsidRPr="00EF41FA">
                              <w:rPr>
                                <w:rFonts w:ascii="ＭＳ 明朝" w:eastAsia="ＭＳ 明朝" w:hAnsi="ＭＳ 明朝" w:hint="eastAsia"/>
                                <w:sz w:val="24"/>
                                <w:szCs w:val="24"/>
                              </w:rPr>
                              <w:t>→</w:t>
                            </w:r>
                            <w:r w:rsidRPr="00EF41FA">
                              <w:rPr>
                                <w:rFonts w:ascii="ＭＳ 明朝" w:eastAsia="ＭＳ 明朝" w:hAnsi="ＭＳ 明朝"/>
                                <w:sz w:val="24"/>
                                <w:szCs w:val="24"/>
                              </w:rPr>
                              <w:t xml:space="preserve"> </w:t>
                            </w:r>
                            <w:r w:rsidRPr="00EF41FA">
                              <w:rPr>
                                <w:rFonts w:ascii="ＭＳ 明朝" w:eastAsia="ＭＳ 明朝" w:hAnsi="ＭＳ 明朝" w:hint="eastAsia"/>
                                <w:sz w:val="24"/>
                                <w:szCs w:val="24"/>
                              </w:rPr>
                              <w:t>水濁法一律基準＋上乗せ条例</w:t>
                            </w:r>
                          </w:p>
                          <w:p w:rsidR="00933DBF" w:rsidRPr="00EF41FA" w:rsidRDefault="00933DBF" w:rsidP="00933DB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1C3061">
                              <w:rPr>
                                <w:rFonts w:ascii="ＭＳ ゴシック" w:eastAsia="ＭＳ ゴシック" w:hAnsi="ＭＳ ゴシック" w:hint="eastAsia"/>
                                <w:sz w:val="24"/>
                                <w:szCs w:val="24"/>
                              </w:rPr>
                              <w:t>＜有害物質＞</w:t>
                            </w:r>
                            <w:r>
                              <w:rPr>
                                <w:rFonts w:ascii="ＭＳ 明朝" w:eastAsia="ＭＳ 明朝" w:hAnsi="ＭＳ 明朝" w:hint="eastAsia"/>
                                <w:sz w:val="24"/>
                                <w:szCs w:val="24"/>
                              </w:rPr>
                              <w:t>鉛</w:t>
                            </w:r>
                            <w:r w:rsidRPr="00EF41FA">
                              <w:rPr>
                                <w:rFonts w:ascii="ＭＳ 明朝" w:eastAsia="ＭＳ 明朝" w:hAnsi="ＭＳ 明朝" w:hint="eastAsia"/>
                                <w:sz w:val="24"/>
                                <w:szCs w:val="24"/>
                              </w:rPr>
                              <w:t>、</w:t>
                            </w:r>
                            <w:r>
                              <w:rPr>
                                <w:rFonts w:ascii="ＭＳ 明朝" w:eastAsia="ＭＳ 明朝" w:hAnsi="ＭＳ 明朝" w:hint="eastAsia"/>
                                <w:sz w:val="24"/>
                                <w:szCs w:val="24"/>
                              </w:rPr>
                              <w:t>水銀</w:t>
                            </w:r>
                            <w:r w:rsidRPr="00EF41FA">
                              <w:rPr>
                                <w:rFonts w:ascii="ＭＳ 明朝" w:eastAsia="ＭＳ 明朝" w:hAnsi="ＭＳ 明朝" w:hint="eastAsia"/>
                                <w:sz w:val="24"/>
                                <w:szCs w:val="24"/>
                              </w:rPr>
                              <w:t>、</w:t>
                            </w:r>
                            <w:r>
                              <w:rPr>
                                <w:rFonts w:ascii="ＭＳ 明朝" w:eastAsia="ＭＳ 明朝" w:hAnsi="ＭＳ 明朝" w:hint="eastAsia"/>
                                <w:sz w:val="24"/>
                                <w:szCs w:val="24"/>
                              </w:rPr>
                              <w:t>VOC</w:t>
                            </w:r>
                            <w:r w:rsidRPr="00EF41FA">
                              <w:rPr>
                                <w:rFonts w:ascii="ＭＳ 明朝" w:eastAsia="ＭＳ 明朝" w:hAnsi="ＭＳ 明朝" w:hint="eastAsia"/>
                                <w:sz w:val="24"/>
                                <w:szCs w:val="24"/>
                              </w:rPr>
                              <w:t>、</w:t>
                            </w:r>
                            <w:r>
                              <w:rPr>
                                <w:rFonts w:ascii="ＭＳ 明朝" w:eastAsia="ＭＳ 明朝" w:hAnsi="ＭＳ 明朝" w:hint="eastAsia"/>
                                <w:sz w:val="24"/>
                                <w:szCs w:val="24"/>
                              </w:rPr>
                              <w:t>ふっ素、ほう素</w:t>
                            </w:r>
                            <w:r w:rsidRPr="00EF41FA">
                              <w:rPr>
                                <w:rFonts w:ascii="ＭＳ 明朝" w:eastAsia="ＭＳ 明朝" w:hAnsi="ＭＳ 明朝" w:hint="eastAsia"/>
                                <w:sz w:val="24"/>
                                <w:szCs w:val="24"/>
                              </w:rPr>
                              <w:t>等</w:t>
                            </w:r>
                            <w:r>
                              <w:rPr>
                                <w:rFonts w:ascii="ＭＳ 明朝" w:eastAsia="ＭＳ 明朝" w:hAnsi="ＭＳ 明朝" w:hint="eastAsia"/>
                                <w:sz w:val="24"/>
                                <w:szCs w:val="24"/>
                              </w:rPr>
                              <w:t>28</w:t>
                            </w:r>
                            <w:r w:rsidRPr="00EF41FA">
                              <w:rPr>
                                <w:rFonts w:ascii="ＭＳ 明朝" w:eastAsia="ＭＳ 明朝" w:hAnsi="ＭＳ 明朝" w:hint="eastAsia"/>
                                <w:sz w:val="24"/>
                                <w:szCs w:val="24"/>
                              </w:rPr>
                              <w:t>項目</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Pr>
                                <w:rFonts w:ascii="ＭＳ 明朝" w:eastAsia="ＭＳ 明朝" w:hAnsi="ＭＳ 明朝" w:hint="eastAsia"/>
                                <w:sz w:val="24"/>
                                <w:szCs w:val="24"/>
                              </w:rPr>
                              <w:t>有害物質を使用する全ての</w:t>
                            </w:r>
                            <w:r w:rsidRPr="00EF41FA">
                              <w:rPr>
                                <w:rFonts w:ascii="ＭＳ 明朝" w:eastAsia="ＭＳ 明朝" w:hAnsi="ＭＳ 明朝" w:hint="eastAsia"/>
                                <w:sz w:val="24"/>
                                <w:szCs w:val="24"/>
                              </w:rPr>
                              <w:t>事業場【</w:t>
                            </w:r>
                            <w:r>
                              <w:rPr>
                                <w:rFonts w:ascii="ＭＳ 明朝" w:eastAsia="ＭＳ 明朝" w:hAnsi="ＭＳ 明朝" w:hint="eastAsia"/>
                                <w:sz w:val="24"/>
                                <w:szCs w:val="24"/>
                              </w:rPr>
                              <w:t>602事業</w:t>
                            </w:r>
                            <w:r w:rsidRPr="00EF41FA">
                              <w:rPr>
                                <w:rFonts w:ascii="ＭＳ 明朝" w:eastAsia="ＭＳ 明朝" w:hAnsi="ＭＳ 明朝" w:hint="eastAsia"/>
                                <w:sz w:val="24"/>
                                <w:szCs w:val="24"/>
                              </w:rPr>
                              <w:t>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（府：136事業場、政令市：364事業場、権限移譲市町村：102事業場）</w:t>
                            </w:r>
                          </w:p>
                          <w:p w:rsidR="00933DBF" w:rsidRPr="00EF41FA" w:rsidRDefault="00933DBF" w:rsidP="00933DBF">
                            <w:pPr>
                              <w:snapToGrid w:val="0"/>
                              <w:ind w:firstLineChars="200" w:firstLine="480"/>
                              <w:rPr>
                                <w:rFonts w:ascii="ＭＳ 明朝" w:eastAsia="ＭＳ 明朝" w:hAnsi="ＭＳ 明朝"/>
                                <w:sz w:val="24"/>
                                <w:szCs w:val="24"/>
                              </w:rPr>
                            </w:pPr>
                            <w:r w:rsidRPr="00C72780">
                              <w:rPr>
                                <w:rFonts w:ascii="ＭＳ ゴシック" w:eastAsia="ＭＳ ゴシック" w:hAnsi="ＭＳ ゴシック"/>
                                <w:sz w:val="24"/>
                                <w:szCs w:val="24"/>
                              </w:rPr>
                              <w:t></w:t>
                            </w:r>
                            <w:r w:rsidRPr="00C72780">
                              <w:rPr>
                                <w:rFonts w:ascii="ＭＳ ゴシック" w:eastAsia="ＭＳ ゴシック" w:hAnsi="ＭＳ ゴシック" w:hint="eastAsia"/>
                                <w:sz w:val="24"/>
                                <w:szCs w:val="24"/>
                              </w:rPr>
                              <w:t>総量規制</w:t>
                            </w:r>
                            <w:r w:rsidRPr="00EF41FA">
                              <w:rPr>
                                <w:rFonts w:ascii="ＭＳ 明朝" w:eastAsia="ＭＳ 明朝" w:hAnsi="ＭＳ 明朝" w:hint="eastAsia"/>
                                <w:sz w:val="24"/>
                                <w:szCs w:val="24"/>
                              </w:rPr>
                              <w:t>（汚濁負荷量（排出する汚濁物質の総量（濃度×排水量））を規制）</w:t>
                            </w:r>
                          </w:p>
                          <w:p w:rsidR="00933DBF" w:rsidRPr="00E84A96"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〔対象〕</w:t>
                            </w:r>
                            <w:r w:rsidRPr="00E84A96">
                              <w:rPr>
                                <w:rFonts w:ascii="ＭＳ 明朝" w:eastAsia="ＭＳ 明朝" w:hAnsi="ＭＳ 明朝" w:hint="eastAsia"/>
                                <w:sz w:val="24"/>
                                <w:szCs w:val="24"/>
                              </w:rPr>
                              <w:t>平均排水量</w:t>
                            </w:r>
                            <w:r w:rsidRPr="00E84A96">
                              <w:rPr>
                                <w:rFonts w:ascii="ＭＳ 明朝" w:eastAsia="ＭＳ 明朝" w:hAnsi="ＭＳ 明朝"/>
                                <w:sz w:val="24"/>
                                <w:szCs w:val="24"/>
                              </w:rPr>
                              <w:t>50</w:t>
                            </w:r>
                            <w:r w:rsidRPr="00E84A96">
                              <w:rPr>
                                <w:rFonts w:ascii="ＭＳ 明朝" w:eastAsia="ＭＳ 明朝" w:hAnsi="ＭＳ 明朝" w:hint="eastAsia"/>
                                <w:sz w:val="24"/>
                                <w:szCs w:val="24"/>
                              </w:rPr>
                              <w:t>㎥／日以上の</w:t>
                            </w:r>
                            <w:r>
                              <w:rPr>
                                <w:rFonts w:ascii="ＭＳ 明朝" w:eastAsia="ＭＳ 明朝" w:hAnsi="ＭＳ 明朝" w:hint="eastAsia"/>
                                <w:sz w:val="24"/>
                                <w:szCs w:val="24"/>
                              </w:rPr>
                              <w:t>法対象</w:t>
                            </w:r>
                            <w:r w:rsidRPr="00E84A96">
                              <w:rPr>
                                <w:rFonts w:ascii="ＭＳ 明朝" w:eastAsia="ＭＳ 明朝" w:hAnsi="ＭＳ 明朝" w:hint="eastAsia"/>
                                <w:sz w:val="24"/>
                                <w:szCs w:val="24"/>
                              </w:rPr>
                              <w:t>事業場【448事業場】</w:t>
                            </w:r>
                          </w:p>
                          <w:p w:rsidR="00933DBF" w:rsidRPr="001C3061" w:rsidRDefault="00933DBF" w:rsidP="001C3061">
                            <w:pPr>
                              <w:snapToGrid w:val="0"/>
                              <w:ind w:firstLineChars="900" w:firstLine="1800"/>
                              <w:rPr>
                                <w:rFonts w:ascii="ＭＳ 明朝" w:eastAsia="ＭＳ 明朝" w:hAnsi="ＭＳ 明朝"/>
                                <w:sz w:val="20"/>
                                <w:szCs w:val="24"/>
                              </w:rPr>
                            </w:pPr>
                            <w:r w:rsidRPr="001C3061">
                              <w:rPr>
                                <w:rFonts w:ascii="ＭＳ 明朝" w:eastAsia="ＭＳ 明朝" w:hAnsi="ＭＳ 明朝" w:hint="eastAsia"/>
                                <w:sz w:val="20"/>
                                <w:szCs w:val="24"/>
                              </w:rPr>
                              <w:t>（府：199事業場、政令市：194事業場、権限移譲市町村：55事業場）</w:t>
                            </w:r>
                          </w:p>
                          <w:p w:rsidR="00933DBF" w:rsidRDefault="00933DBF" w:rsidP="00933DBF">
                            <w:pPr>
                              <w:snapToGrid w:val="0"/>
                              <w:ind w:firstLineChars="400" w:firstLine="960"/>
                              <w:rPr>
                                <w:rFonts w:ascii="ＭＳ 明朝" w:eastAsia="ＭＳ 明朝" w:hAnsi="ＭＳ 明朝"/>
                                <w:sz w:val="24"/>
                                <w:szCs w:val="24"/>
                              </w:rPr>
                            </w:pPr>
                            <w:r w:rsidRPr="001C3061">
                              <w:rPr>
                                <w:rFonts w:ascii="ＭＳ ゴシック" w:eastAsia="ＭＳ ゴシック" w:hAnsi="ＭＳ ゴシック" w:hint="eastAsia"/>
                                <w:sz w:val="24"/>
                                <w:szCs w:val="24"/>
                              </w:rPr>
                              <w:t>〔項目〕</w:t>
                            </w:r>
                            <w:r w:rsidRPr="00EF41FA">
                              <w:rPr>
                                <w:rFonts w:ascii="ＭＳ 明朝" w:eastAsia="ＭＳ 明朝" w:hAnsi="ＭＳ 明朝" w:hint="eastAsia"/>
                                <w:sz w:val="24"/>
                                <w:szCs w:val="24"/>
                              </w:rPr>
                              <w:t>COD、窒素、りん</w:t>
                            </w:r>
                          </w:p>
                          <w:p w:rsidR="00933DBF" w:rsidRDefault="00933DBF" w:rsidP="00933DBF">
                            <w:pPr>
                              <w:snapToGri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※府域の規制指導は、府、政令市（法で権限を移譲：11市）、権限移譲市町村（府が条例で権限移譲：17市町村）により実施</w:t>
                            </w:r>
                          </w:p>
                          <w:p w:rsidR="00933DBF" w:rsidRPr="00EF41FA" w:rsidRDefault="00933DBF" w:rsidP="00933DBF">
                            <w:pPr>
                              <w:snapToGrid w:val="0"/>
                              <w:spacing w:beforeLines="20" w:before="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F41FA">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015</w:t>
                            </w:r>
                            <w:r w:rsidRPr="00EF41FA">
                              <w:rPr>
                                <w:rFonts w:ascii="ＭＳ ゴシック" w:eastAsia="ＭＳ ゴシック" w:hAnsi="ＭＳ ゴシック" w:hint="eastAsia"/>
                                <w:sz w:val="24"/>
                                <w:szCs w:val="24"/>
                              </w:rPr>
                              <w:t>年度の実績（取組指標に対する結果）】</w:t>
                            </w:r>
                            <w:r>
                              <w:rPr>
                                <w:rFonts w:ascii="ＭＳ ゴシック" w:eastAsia="ＭＳ ゴシック" w:hAnsi="ＭＳ ゴシック" w:hint="eastAsia"/>
                                <w:sz w:val="24"/>
                                <w:szCs w:val="24"/>
                              </w:rPr>
                              <w:t>（府の実績）</w:t>
                            </w:r>
                          </w:p>
                          <w:p w:rsidR="009C3938" w:rsidRDefault="00933DBF" w:rsidP="004B444B">
                            <w:pPr>
                              <w:snapToGri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・排水基準が適用される事業場等に対して、</w:t>
                            </w:r>
                            <w:r w:rsidRPr="00EF41FA">
                              <w:rPr>
                                <w:rFonts w:ascii="ＭＳ 明朝" w:eastAsia="ＭＳ 明朝" w:hAnsi="ＭＳ 明朝" w:hint="eastAsia"/>
                                <w:sz w:val="24"/>
                                <w:szCs w:val="24"/>
                              </w:rPr>
                              <w:t>立入検査</w:t>
                            </w:r>
                            <w:r>
                              <w:rPr>
                                <w:rFonts w:ascii="ＭＳ 明朝" w:eastAsia="ＭＳ 明朝" w:hAnsi="ＭＳ 明朝" w:hint="eastAsia"/>
                                <w:sz w:val="24"/>
                                <w:szCs w:val="24"/>
                              </w:rPr>
                              <w:t>（採水を含む）</w:t>
                            </w:r>
                            <w:r w:rsidRPr="00EF41FA">
                              <w:rPr>
                                <w:rFonts w:ascii="ＭＳ 明朝" w:eastAsia="ＭＳ 明朝" w:hAnsi="ＭＳ 明朝" w:hint="eastAsia"/>
                                <w:sz w:val="24"/>
                                <w:szCs w:val="24"/>
                              </w:rPr>
                              <w:t>を</w:t>
                            </w:r>
                            <w:r>
                              <w:rPr>
                                <w:rFonts w:ascii="ＭＳ 明朝" w:eastAsia="ＭＳ 明朝" w:hAnsi="ＭＳ 明朝" w:hint="eastAsia"/>
                                <w:sz w:val="24"/>
                                <w:szCs w:val="24"/>
                              </w:rPr>
                              <w:t>のべ805</w:t>
                            </w:r>
                            <w:r w:rsidRPr="00A33B79">
                              <w:rPr>
                                <w:rFonts w:ascii="ＭＳ 明朝" w:eastAsia="ＭＳ 明朝" w:hAnsi="ＭＳ 明朝" w:hint="eastAsia"/>
                                <w:sz w:val="24"/>
                                <w:szCs w:val="24"/>
                              </w:rPr>
                              <w:t>回実施</w:t>
                            </w:r>
                          </w:p>
                          <w:p w:rsidR="00933DBF" w:rsidRPr="00A33B79" w:rsidRDefault="00933DBF" w:rsidP="009C3938">
                            <w:pPr>
                              <w:snapToGrid w:val="0"/>
                              <w:ind w:leftChars="200" w:left="420"/>
                              <w:rPr>
                                <w:rFonts w:ascii="ＭＳ 明朝" w:eastAsia="ＭＳ 明朝" w:hAnsi="ＭＳ 明朝"/>
                                <w:sz w:val="24"/>
                                <w:szCs w:val="24"/>
                              </w:rPr>
                            </w:pPr>
                            <w:r w:rsidRPr="00A33B79">
                              <w:rPr>
                                <w:rFonts w:ascii="ＭＳ 明朝" w:eastAsia="ＭＳ 明朝" w:hAnsi="ＭＳ 明朝" w:hint="eastAsia"/>
                                <w:sz w:val="24"/>
                                <w:szCs w:val="24"/>
                              </w:rPr>
                              <w:t>（試料採取・分析件数：</w:t>
                            </w:r>
                            <w:r>
                              <w:rPr>
                                <w:rFonts w:ascii="ＭＳ 明朝" w:eastAsia="ＭＳ 明朝" w:hAnsi="ＭＳ 明朝" w:hint="eastAsia"/>
                                <w:sz w:val="24"/>
                                <w:szCs w:val="24"/>
                              </w:rPr>
                              <w:t>32</w:t>
                            </w:r>
                            <w:r w:rsidRPr="00A33B79">
                              <w:rPr>
                                <w:rFonts w:ascii="ＭＳ 明朝" w:eastAsia="ＭＳ 明朝" w:hAnsi="ＭＳ 明朝" w:hint="eastAsia"/>
                                <w:sz w:val="24"/>
                                <w:szCs w:val="24"/>
                              </w:rPr>
                              <w:t>1件）</w:t>
                            </w:r>
                          </w:p>
                          <w:p w:rsidR="009C3938" w:rsidRDefault="00933DBF" w:rsidP="004B444B">
                            <w:pPr>
                              <w:snapToGrid w:val="0"/>
                              <w:ind w:leftChars="100" w:left="450" w:hangingChars="100" w:hanging="240"/>
                              <w:rPr>
                                <w:rFonts w:ascii="ＭＳ 明朝" w:eastAsia="ＭＳ 明朝" w:hAnsi="ＭＳ 明朝"/>
                                <w:sz w:val="24"/>
                                <w:szCs w:val="24"/>
                              </w:rPr>
                            </w:pPr>
                            <w:r w:rsidRPr="00A33B79">
                              <w:rPr>
                                <w:rFonts w:ascii="ＭＳ 明朝" w:eastAsia="ＭＳ 明朝" w:hAnsi="ＭＳ 明朝" w:hint="eastAsia"/>
                                <w:sz w:val="24"/>
                                <w:szCs w:val="24"/>
                              </w:rPr>
                              <w:t>・立入検査の結果に基づき、必要に応じて改善指導を行い、基準の遵守徹底を図った</w:t>
                            </w:r>
                            <w:r w:rsidR="009C3938">
                              <w:rPr>
                                <w:rFonts w:ascii="ＭＳ 明朝" w:eastAsia="ＭＳ 明朝" w:hAnsi="ＭＳ 明朝" w:hint="eastAsia"/>
                                <w:sz w:val="24"/>
                                <w:szCs w:val="24"/>
                              </w:rPr>
                              <w:t>。</w:t>
                            </w:r>
                          </w:p>
                          <w:p w:rsidR="00933DBF" w:rsidRDefault="00933DBF" w:rsidP="009C3938">
                            <w:pPr>
                              <w:snapToGrid w:val="0"/>
                              <w:ind w:leftChars="200" w:left="420"/>
                              <w:rPr>
                                <w:rFonts w:ascii="ＭＳ 明朝" w:eastAsia="ＭＳ 明朝" w:hAnsi="ＭＳ 明朝"/>
                                <w:sz w:val="24"/>
                                <w:szCs w:val="24"/>
                              </w:rPr>
                            </w:pPr>
                            <w:r w:rsidRPr="00A33B79">
                              <w:rPr>
                                <w:rFonts w:ascii="ＭＳ 明朝" w:eastAsia="ＭＳ 明朝" w:hAnsi="ＭＳ 明朝" w:hint="eastAsia"/>
                                <w:sz w:val="24"/>
                                <w:szCs w:val="24"/>
                              </w:rPr>
                              <w:t>（排水基準超過等に対し、文書指導等を計37件実施）</w:t>
                            </w:r>
                          </w:p>
                        </w:txbxContent>
                      </v:textbox>
                    </v:shape>
                  </w:pict>
                </mc:Fallback>
              </mc:AlternateContent>
            </w:r>
          </w:p>
          <w:p w:rsidR="00933DBF" w:rsidRDefault="00933DBF"/>
          <w:p w:rsidR="00933DBF" w:rsidRDefault="00933DBF"/>
          <w:p w:rsidR="00933DBF" w:rsidRDefault="00933DBF"/>
          <w:p w:rsidR="00933DBF" w:rsidRDefault="00933DBF"/>
          <w:p w:rsidR="00933DBF" w:rsidRDefault="00933DBF"/>
          <w:p w:rsidR="00266CE0" w:rsidRDefault="00266CE0"/>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933DBF"/>
          <w:p w:rsidR="00933DBF" w:rsidRDefault="00E84D76">
            <w:r>
              <w:rPr>
                <w:rFonts w:hint="eastAsia"/>
                <w:noProof/>
              </w:rPr>
              <mc:AlternateContent>
                <mc:Choice Requires="wps">
                  <w:drawing>
                    <wp:anchor distT="0" distB="0" distL="114300" distR="114300" simplePos="0" relativeHeight="251713536" behindDoc="0" locked="0" layoutInCell="1" allowOverlap="1" wp14:anchorId="1381F9D4" wp14:editId="7C59F6C7">
                      <wp:simplePos x="0" y="0"/>
                      <wp:positionH relativeFrom="column">
                        <wp:posOffset>51435</wp:posOffset>
                      </wp:positionH>
                      <wp:positionV relativeFrom="paragraph">
                        <wp:posOffset>197777</wp:posOffset>
                      </wp:positionV>
                      <wp:extent cx="6443345" cy="1044000"/>
                      <wp:effectExtent l="0" t="0" r="14605" b="22860"/>
                      <wp:wrapNone/>
                      <wp:docPr id="15" name="正方形/長方形 15"/>
                      <wp:cNvGraphicFramePr/>
                      <a:graphic xmlns:a="http://schemas.openxmlformats.org/drawingml/2006/main">
                        <a:graphicData uri="http://schemas.microsoft.com/office/word/2010/wordprocessingShape">
                          <wps:wsp>
                            <wps:cNvSpPr/>
                            <wps:spPr>
                              <a:xfrm>
                                <a:off x="0" y="0"/>
                                <a:ext cx="6443345" cy="1044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4.05pt;margin-top:15.55pt;width:507.35pt;height:82.2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" filled="f" strokecolor="black [3213]" strokeweight=".5pt">
                      <v:stroke dashstyle="dash"/>
                    </v:rect>
                  </w:pict>
                </mc:Fallback>
              </mc:AlternateContent>
            </w:r>
          </w:p>
          <w:p w:rsidR="00933DBF" w:rsidRDefault="00933DBF"/>
          <w:p w:rsidR="00933DBF" w:rsidRDefault="00933DBF"/>
          <w:p w:rsidR="00933DBF" w:rsidRDefault="00933DBF"/>
          <w:p w:rsidR="004B444B" w:rsidRDefault="004B444B" w:rsidP="004B444B">
            <w:pPr>
              <w:snapToGrid w:val="0"/>
            </w:pPr>
          </w:p>
        </w:tc>
        <w:tc>
          <w:tcPr>
            <w:tcW w:w="11112" w:type="dxa"/>
            <w:gridSpan w:val="3"/>
            <w:tcBorders>
              <w:top w:val="single" w:sz="4" w:space="0" w:color="auto"/>
              <w:left w:val="single" w:sz="12" w:space="0" w:color="FFFFFF" w:themeColor="background1"/>
              <w:bottom w:val="single" w:sz="12" w:space="0" w:color="FFFFFF" w:themeColor="background1"/>
              <w:right w:val="single" w:sz="4" w:space="0" w:color="auto"/>
            </w:tcBorders>
          </w:tcPr>
          <w:p w:rsidR="00933DBF" w:rsidRDefault="00266CE0">
            <w:r>
              <w:rPr>
                <w:rFonts w:hint="eastAsia"/>
                <w:noProof/>
              </w:rPr>
              <mc:AlternateContent>
                <mc:Choice Requires="wps">
                  <w:drawing>
                    <wp:anchor distT="0" distB="0" distL="114300" distR="114300" simplePos="0" relativeHeight="251707392" behindDoc="0" locked="0" layoutInCell="1" allowOverlap="1" wp14:anchorId="225D3C69" wp14:editId="6DE35565">
                      <wp:simplePos x="0" y="0"/>
                      <wp:positionH relativeFrom="column">
                        <wp:posOffset>35560</wp:posOffset>
                      </wp:positionH>
                      <wp:positionV relativeFrom="paragraph">
                        <wp:posOffset>53975</wp:posOffset>
                      </wp:positionV>
                      <wp:extent cx="6716395" cy="6516000"/>
                      <wp:effectExtent l="0" t="0" r="0" b="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6395" cy="6516000"/>
                              </a:xfrm>
                              <a:prstGeom prst="foldedCorner">
                                <a:avLst>
                                  <a:gd name="adj" fmla="val 1703"/>
                                </a:avLst>
                              </a:prstGeom>
                              <a:noFill/>
                              <a:ln w="9525">
                                <a:noFill/>
                                <a:round/>
                                <a:headEnd/>
                                <a:tailEnd/>
                              </a:ln>
                            </wps:spPr>
                            <wps:txbx>
                              <w:txbxContent>
                                <w:p w:rsidR="00266CE0" w:rsidRPr="006D0CD7" w:rsidRDefault="00266CE0" w:rsidP="00266CE0">
                                  <w:pPr>
                                    <w:rPr>
                                      <w:rFonts w:ascii="ＭＳ ゴシック" w:eastAsia="ＭＳ ゴシック" w:hAnsi="ＭＳ ゴシック"/>
                                      <w:b/>
                                      <w:sz w:val="24"/>
                                    </w:rPr>
                                  </w:pPr>
                                  <w:r w:rsidRPr="00B37AA2">
                                    <w:rPr>
                                      <w:rFonts w:ascii="ＭＳ ゴシック" w:eastAsia="ＭＳ ゴシック" w:hAnsi="ＭＳ ゴシック" w:hint="eastAsia"/>
                                      <w:b/>
                                      <w:sz w:val="24"/>
                                    </w:rPr>
                                    <w:t>●生活排水対策事業</w:t>
                                  </w:r>
                                  <w:r w:rsidRPr="00A33B79">
                                    <w:rPr>
                                      <w:rFonts w:ascii="ＭＳ ゴシック" w:eastAsia="ＭＳ ゴシック" w:hAnsi="ＭＳ ゴシック" w:hint="eastAsia"/>
                                      <w:b/>
                                      <w:sz w:val="24"/>
                                      <w:szCs w:val="24"/>
                                      <w:lang w:eastAsia="zh-CN"/>
                                    </w:rPr>
                                    <w:t xml:space="preserve">　　</w:t>
                                  </w:r>
                                  <w:r w:rsidR="00C72780" w:rsidRPr="00C72780">
                                    <w:rPr>
                                      <w:rFonts w:ascii="ＭＳ ゴシック" w:eastAsia="ＭＳ ゴシック" w:hAnsi="ＭＳ ゴシック" w:hint="eastAsia"/>
                                      <w:sz w:val="24"/>
                                      <w:szCs w:val="24"/>
                                    </w:rPr>
                                    <w:t>＜</w:t>
                                  </w:r>
                                  <w:r w:rsidRPr="007E601D">
                                    <w:rPr>
                                      <w:rFonts w:asciiTheme="minorEastAsia" w:hAnsiTheme="minorEastAsia" w:hint="eastAsia"/>
                                      <w:sz w:val="24"/>
                                      <w:szCs w:val="24"/>
                                      <w:lang w:eastAsia="zh-CN"/>
                                    </w:rPr>
                                    <w:t>生活排水適正処理率</w:t>
                                  </w:r>
                                  <w:r w:rsidRPr="00A33B79">
                                    <w:rPr>
                                      <w:rFonts w:ascii="ＭＳ ゴシック" w:eastAsia="ＭＳ ゴシック" w:hAnsi="ＭＳ ゴシック" w:hint="eastAsia"/>
                                      <w:b/>
                                      <w:sz w:val="24"/>
                                      <w:szCs w:val="24"/>
                                      <w:lang w:eastAsia="zh-CN"/>
                                    </w:rPr>
                                    <w:t xml:space="preserve">　</w:t>
                                  </w:r>
                                  <w:r w:rsidRPr="00A33B79">
                                    <w:rPr>
                                      <w:rFonts w:asciiTheme="minorEastAsia" w:hAnsiTheme="minorEastAsia" w:hint="eastAsia"/>
                                      <w:sz w:val="24"/>
                                      <w:szCs w:val="24"/>
                                      <w:lang w:eastAsia="zh-CN"/>
                                    </w:rPr>
                                    <w:t>2</w:t>
                                  </w:r>
                                  <w:r>
                                    <w:rPr>
                                      <w:rFonts w:asciiTheme="minorEastAsia" w:hAnsiTheme="minorEastAsia" w:hint="eastAsia"/>
                                      <w:sz w:val="24"/>
                                      <w:szCs w:val="24"/>
                                    </w:rPr>
                                    <w:t>011</w:t>
                                  </w:r>
                                  <w:r w:rsidRPr="00A33B79">
                                    <w:rPr>
                                      <w:rFonts w:asciiTheme="minorEastAsia" w:hAnsiTheme="minorEastAsia" w:hint="eastAsia"/>
                                      <w:sz w:val="24"/>
                                      <w:szCs w:val="24"/>
                                      <w:lang w:eastAsia="zh-CN"/>
                                    </w:rPr>
                                    <w:t>年度　9</w:t>
                                  </w:r>
                                  <w:r>
                                    <w:rPr>
                                      <w:rFonts w:asciiTheme="minorEastAsia" w:hAnsiTheme="minorEastAsia" w:hint="eastAsia"/>
                                      <w:sz w:val="24"/>
                                      <w:szCs w:val="24"/>
                                    </w:rPr>
                                    <w:t>3</w:t>
                                  </w:r>
                                  <w:r w:rsidRPr="00A33B79">
                                    <w:rPr>
                                      <w:rFonts w:asciiTheme="minorEastAsia" w:hAnsiTheme="minorEastAsia" w:hint="eastAsia"/>
                                      <w:sz w:val="24"/>
                                      <w:szCs w:val="24"/>
                                      <w:lang w:eastAsia="zh-CN"/>
                                    </w:rPr>
                                    <w:t>.</w:t>
                                  </w:r>
                                  <w:r>
                                    <w:rPr>
                                      <w:rFonts w:asciiTheme="minorEastAsia" w:hAnsiTheme="minorEastAsia" w:hint="eastAsia"/>
                                      <w:sz w:val="24"/>
                                      <w:szCs w:val="24"/>
                                    </w:rPr>
                                    <w:t>7</w:t>
                                  </w:r>
                                  <w:r w:rsidRPr="00A33B79">
                                    <w:rPr>
                                      <w:rFonts w:asciiTheme="minorEastAsia" w:hAnsiTheme="minorEastAsia" w:hint="eastAsia"/>
                                      <w:sz w:val="24"/>
                                      <w:szCs w:val="24"/>
                                      <w:lang w:eastAsia="zh-CN"/>
                                    </w:rPr>
                                    <w:t>% ⇒ 2</w:t>
                                  </w:r>
                                  <w:r>
                                    <w:rPr>
                                      <w:rFonts w:asciiTheme="minorEastAsia" w:hAnsiTheme="minorEastAsia" w:hint="eastAsia"/>
                                      <w:sz w:val="24"/>
                                      <w:szCs w:val="24"/>
                                    </w:rPr>
                                    <w:t>014</w:t>
                                  </w:r>
                                  <w:r w:rsidRPr="00A33B79">
                                    <w:rPr>
                                      <w:rFonts w:asciiTheme="minorEastAsia" w:hAnsiTheme="minorEastAsia" w:hint="eastAsia"/>
                                      <w:sz w:val="24"/>
                                      <w:szCs w:val="24"/>
                                      <w:lang w:eastAsia="zh-CN"/>
                                    </w:rPr>
                                    <w:t>年度　95.</w:t>
                                  </w:r>
                                  <w:r>
                                    <w:rPr>
                                      <w:rFonts w:asciiTheme="minorEastAsia" w:hAnsiTheme="minorEastAsia" w:hint="eastAsia"/>
                                      <w:sz w:val="24"/>
                                      <w:szCs w:val="24"/>
                                    </w:rPr>
                                    <w:t>0</w:t>
                                  </w:r>
                                  <w:r w:rsidRPr="00A33B79">
                                    <w:rPr>
                                      <w:rFonts w:asciiTheme="minorEastAsia" w:hAnsiTheme="minorEastAsia" w:hint="eastAsia"/>
                                      <w:sz w:val="24"/>
                                      <w:szCs w:val="24"/>
                                      <w:lang w:eastAsia="zh-CN"/>
                                    </w:rPr>
                                    <w:t>%</w:t>
                                  </w:r>
                                  <w:r w:rsidR="00C72780">
                                    <w:rPr>
                                      <w:rFonts w:asciiTheme="minorEastAsia" w:hAnsiTheme="minorEastAsia" w:hint="eastAsia"/>
                                      <w:sz w:val="24"/>
                                      <w:szCs w:val="24"/>
                                    </w:rPr>
                                    <w:t>＞</w:t>
                                  </w:r>
                                </w:p>
                                <w:p w:rsidR="00266CE0" w:rsidRPr="00A94746" w:rsidRDefault="00266CE0" w:rsidP="00266CE0">
                                  <w:pPr>
                                    <w:snapToGrid w:val="0"/>
                                    <w:rPr>
                                      <w:rFonts w:asciiTheme="minorEastAsia" w:hAnsiTheme="minorEastAsia"/>
                                      <w:sz w:val="22"/>
                                    </w:rPr>
                                  </w:pPr>
                                  <w:r w:rsidRPr="00A94746">
                                    <w:rPr>
                                      <w:rFonts w:asciiTheme="minorEastAsia" w:hAnsiTheme="minorEastAsia" w:hint="eastAsia"/>
                                    </w:rPr>
                                    <w:t xml:space="preserve">　</w:t>
                                  </w:r>
                                  <w:r w:rsidRPr="00A94746">
                                    <w:rPr>
                                      <w:rFonts w:asciiTheme="minorEastAsia" w:hAnsiTheme="minorEastAsia" w:hint="eastAsia"/>
                                      <w:sz w:val="22"/>
                                    </w:rPr>
                                    <w:t>生活排水処理施設整備の事業主体である市町村の生活排水処理計画の見直し等の際に市町村に対し技術的支援を行い、市町村における下水道や合併処理浄化槽等の生活排水処理施設の効率的・効果的な整備を促進し</w:t>
                                  </w:r>
                                  <w:r w:rsidR="00C25831">
                                    <w:rPr>
                                      <w:rFonts w:asciiTheme="minorEastAsia" w:hAnsiTheme="minorEastAsia" w:hint="eastAsia"/>
                                      <w:sz w:val="22"/>
                                    </w:rPr>
                                    <w:t>ている</w:t>
                                  </w:r>
                                  <w:r w:rsidRPr="00A94746">
                                    <w:rPr>
                                      <w:rFonts w:asciiTheme="minorEastAsia" w:hAnsiTheme="minorEastAsia" w:hint="eastAsia"/>
                                      <w:sz w:val="22"/>
                                    </w:rPr>
                                    <w:t>。</w:t>
                                  </w:r>
                                </w:p>
                                <w:p w:rsidR="00266CE0" w:rsidRPr="00A94746" w:rsidRDefault="00266CE0" w:rsidP="00266CE0">
                                  <w:pPr>
                                    <w:snapToGrid w:val="0"/>
                                    <w:rPr>
                                      <w:rFonts w:asciiTheme="minorEastAsia" w:hAnsiTheme="minorEastAsia"/>
                                      <w:sz w:val="22"/>
                                    </w:rPr>
                                  </w:pPr>
                                  <w:r w:rsidRPr="00A94746">
                                    <w:rPr>
                                      <w:rFonts w:asciiTheme="minorEastAsia" w:hAnsiTheme="minorEastAsia" w:hint="eastAsia"/>
                                      <w:sz w:val="22"/>
                                    </w:rPr>
                                    <w:t xml:space="preserve">　府域の生活排水適正処理率は、生活排水処理施設の整備に伴い、着実に向上してきており、2014年度末現在で95.0%となっている。</w:t>
                                  </w:r>
                                </w:p>
                                <w:p w:rsidR="00266CE0" w:rsidRPr="00B5318B" w:rsidRDefault="00266CE0" w:rsidP="00266CE0">
                                  <w:pPr>
                                    <w:tabs>
                                      <w:tab w:val="center" w:pos="4395"/>
                                      <w:tab w:val="right" w:pos="9214"/>
                                    </w:tabs>
                                    <w:rPr>
                                      <w:rFonts w:ascii="ＭＳ ゴシック" w:eastAsia="ＭＳ ゴシック" w:hAnsi="ＭＳ ゴシック"/>
                                      <w:sz w:val="16"/>
                                    </w:rPr>
                                  </w:pPr>
                                  <w:r w:rsidRPr="00B5318B">
                                    <w:rPr>
                                      <w:rFonts w:ascii="ＭＳ ゴシック" w:eastAsia="ＭＳ ゴシック" w:hAnsi="ＭＳ ゴシック" w:hint="eastAsia"/>
                                      <w:sz w:val="20"/>
                                    </w:rPr>
                                    <w:tab/>
                                    <w:t>処理形態別人口と割合</w:t>
                                  </w:r>
                                  <w:r w:rsidRPr="00B5318B">
                                    <w:rPr>
                                      <w:rFonts w:ascii="ＭＳ ゴシック" w:eastAsia="ＭＳ ゴシック" w:hAnsi="ＭＳ ゴシック"/>
                                      <w:sz w:val="20"/>
                                    </w:rPr>
                                    <w:tab/>
                                  </w:r>
                                  <w:r>
                                    <w:rPr>
                                      <w:rFonts w:ascii="ＭＳ ゴシック" w:eastAsia="ＭＳ ゴシック" w:hAnsi="ＭＳ ゴシック" w:hint="eastAsia"/>
                                      <w:sz w:val="16"/>
                                    </w:rPr>
                                    <w:t>（</w:t>
                                  </w:r>
                                  <w:r w:rsidRPr="00B5318B">
                                    <w:rPr>
                                      <w:rFonts w:ascii="ＭＳ ゴシック" w:eastAsia="ＭＳ ゴシック" w:hAnsi="ＭＳ ゴシック" w:hint="eastAsia"/>
                                      <w:sz w:val="16"/>
                                    </w:rPr>
                                    <w:t>2</w:t>
                                  </w:r>
                                  <w:r>
                                    <w:rPr>
                                      <w:rFonts w:ascii="ＭＳ ゴシック" w:eastAsia="ＭＳ ゴシック" w:hAnsi="ＭＳ ゴシック" w:hint="eastAsia"/>
                                      <w:sz w:val="16"/>
                                    </w:rPr>
                                    <w:t>014</w:t>
                                  </w:r>
                                  <w:r w:rsidRPr="00B5318B">
                                    <w:rPr>
                                      <w:rFonts w:ascii="ＭＳ ゴシック" w:eastAsia="ＭＳ ゴシック" w:hAnsi="ＭＳ ゴシック" w:hint="eastAsia"/>
                                      <w:sz w:val="16"/>
                                    </w:rPr>
                                    <w:t>年度末現在）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7"/>
                                    <w:gridCol w:w="1000"/>
                                    <w:gridCol w:w="1000"/>
                                    <w:gridCol w:w="1001"/>
                                    <w:gridCol w:w="1000"/>
                                    <w:gridCol w:w="1001"/>
                                    <w:gridCol w:w="1133"/>
                                    <w:gridCol w:w="1006"/>
                                  </w:tblGrid>
                                  <w:tr w:rsidR="00266CE0" w:rsidRPr="00B5318B" w:rsidTr="00317A4B">
                                    <w:trPr>
                                      <w:jc w:val="center"/>
                                    </w:trPr>
                                    <w:tc>
                                      <w:tcPr>
                                        <w:tcW w:w="1567" w:type="dxa"/>
                                        <w:vMerge w:val="restart"/>
                                        <w:tcBorders>
                                          <w:top w:val="single" w:sz="8" w:space="0" w:color="auto"/>
                                          <w:lef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整備手法</w:t>
                                        </w:r>
                                      </w:p>
                                    </w:tc>
                                    <w:tc>
                                      <w:tcPr>
                                        <w:tcW w:w="5002" w:type="dxa"/>
                                        <w:gridSpan w:val="5"/>
                                        <w:tcBorders>
                                          <w:top w:val="single" w:sz="8" w:space="0" w:color="auto"/>
                                          <w:bottom w:val="nil"/>
                                        </w:tcBorders>
                                        <w:shd w:val="clear" w:color="auto" w:fill="CCFFCC"/>
                                        <w:vAlign w:val="center"/>
                                      </w:tcPr>
                                      <w:p w:rsidR="00266CE0" w:rsidRPr="00B5318B" w:rsidRDefault="00266CE0" w:rsidP="00317A4B">
                                        <w:pPr>
                                          <w:autoSpaceDE w:val="0"/>
                                          <w:autoSpaceDN w:val="0"/>
                                          <w:spacing w:line="200" w:lineRule="exact"/>
                                          <w:ind w:right="110"/>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生活雑排水処理人口</w:t>
                                        </w:r>
                                      </w:p>
                                    </w:tc>
                                    <w:tc>
                                      <w:tcPr>
                                        <w:tcW w:w="1133" w:type="dxa"/>
                                        <w:vMerge w:val="restart"/>
                                        <w:tcBorders>
                                          <w:top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6"/>
                                            <w:sz w:val="18"/>
                                            <w:szCs w:val="21"/>
                                          </w:rPr>
                                        </w:pPr>
                                        <w:r w:rsidRPr="00B5318B">
                                          <w:rPr>
                                            <w:rFonts w:ascii="ＭＳ Ｐゴシック" w:eastAsia="ＭＳ Ｐゴシック" w:hAnsi="ＭＳ Ｐゴシック" w:hint="eastAsia"/>
                                            <w:color w:val="000000"/>
                                            <w:spacing w:val="-6"/>
                                            <w:sz w:val="18"/>
                                            <w:szCs w:val="21"/>
                                          </w:rPr>
                                          <w:t>生活雑排水</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6"/>
                                            <w:sz w:val="18"/>
                                            <w:szCs w:val="21"/>
                                          </w:rPr>
                                        </w:pPr>
                                        <w:r w:rsidRPr="00B5318B">
                                          <w:rPr>
                                            <w:rFonts w:ascii="ＭＳ Ｐゴシック" w:eastAsia="ＭＳ Ｐゴシック" w:hAnsi="ＭＳ Ｐゴシック" w:hint="eastAsia"/>
                                            <w:color w:val="000000"/>
                                            <w:spacing w:val="-6"/>
                                            <w:sz w:val="18"/>
                                            <w:szCs w:val="21"/>
                                          </w:rPr>
                                          <w:t>未処理人口</w:t>
                                        </w:r>
                                      </w:p>
                                    </w:tc>
                                    <w:tc>
                                      <w:tcPr>
                                        <w:tcW w:w="1006" w:type="dxa"/>
                                        <w:vMerge w:val="restart"/>
                                        <w:tcBorders>
                                          <w:top w:val="single" w:sz="8" w:space="0" w:color="auto"/>
                                          <w:righ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総人口</w:t>
                                        </w:r>
                                      </w:p>
                                    </w:tc>
                                  </w:tr>
                                  <w:tr w:rsidR="00266CE0" w:rsidRPr="00B5318B" w:rsidTr="00317A4B">
                                    <w:trPr>
                                      <w:jc w:val="center"/>
                                    </w:trPr>
                                    <w:tc>
                                      <w:tcPr>
                                        <w:tcW w:w="1567" w:type="dxa"/>
                                        <w:vMerge/>
                                        <w:tcBorders>
                                          <w:left w:val="single" w:sz="8" w:space="0" w:color="auto"/>
                                          <w:bottom w:val="single" w:sz="4"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4"/>
                                            <w:sz w:val="18"/>
                                            <w:szCs w:val="21"/>
                                          </w:rPr>
                                        </w:pPr>
                                        <w:r w:rsidRPr="00B5318B">
                                          <w:rPr>
                                            <w:rFonts w:ascii="ＭＳ Ｐゴシック" w:eastAsia="ＭＳ Ｐゴシック" w:hAnsi="ＭＳ Ｐゴシック" w:hint="eastAsia"/>
                                            <w:color w:val="000000"/>
                                            <w:spacing w:val="-4"/>
                                            <w:sz w:val="18"/>
                                            <w:szCs w:val="21"/>
                                          </w:rPr>
                                          <w:t>公　共</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4"/>
                                            <w:sz w:val="18"/>
                                            <w:szCs w:val="21"/>
                                          </w:rPr>
                                        </w:pPr>
                                        <w:r w:rsidRPr="00B5318B">
                                          <w:rPr>
                                            <w:rFonts w:ascii="ＭＳ Ｐゴシック" w:eastAsia="ＭＳ Ｐゴシック" w:hAnsi="ＭＳ Ｐゴシック" w:hint="eastAsia"/>
                                            <w:color w:val="000000"/>
                                            <w:spacing w:val="-4"/>
                                            <w:sz w:val="18"/>
                                            <w:szCs w:val="21"/>
                                          </w:rPr>
                                          <w:t>下水道</w:t>
                                        </w: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農業集落</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排水施設</w:t>
                                        </w:r>
                                      </w:p>
                                    </w:tc>
                                    <w:tc>
                                      <w:tcPr>
                                        <w:tcW w:w="1001"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合併処理</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pacing w:val="-20"/>
                                            <w:sz w:val="18"/>
                                            <w:szCs w:val="21"/>
                                          </w:rPr>
                                          <w:t>浄化槽</w:t>
                                        </w: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コミュニティ</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プラント</w:t>
                                        </w:r>
                                      </w:p>
                                    </w:tc>
                                    <w:tc>
                                      <w:tcPr>
                                        <w:tcW w:w="1001" w:type="dxa"/>
                                        <w:tcBorders>
                                          <w:top w:val="nil"/>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133" w:type="dxa"/>
                                        <w:vMerge/>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006" w:type="dxa"/>
                                        <w:vMerge/>
                                        <w:tcBorders>
                                          <w:righ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r>
                                  <w:tr w:rsidR="00266CE0" w:rsidRPr="00B5318B" w:rsidTr="00317A4B">
                                    <w:trPr>
                                      <w:jc w:val="center"/>
                                    </w:trPr>
                                    <w:tc>
                                      <w:tcPr>
                                        <w:tcW w:w="1567" w:type="dxa"/>
                                        <w:tcBorders>
                                          <w:lef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処理人口（千人）</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167.4</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0.8</w:t>
                                        </w:r>
                                      </w:p>
                                    </w:tc>
                                    <w:tc>
                                      <w:tcPr>
                                        <w:tcW w:w="1001"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2</w:t>
                                        </w:r>
                                        <w:r w:rsidRPr="00B5318B">
                                          <w:rPr>
                                            <w:rFonts w:ascii="ＭＳ 明朝" w:hAnsi="ＭＳ 明朝" w:hint="eastAsia"/>
                                            <w:sz w:val="18"/>
                                          </w:rPr>
                                          <w:t>50.0</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0.5</w:t>
                                        </w:r>
                                      </w:p>
                                    </w:tc>
                                    <w:tc>
                                      <w:tcPr>
                                        <w:tcW w:w="1001"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418.7</w:t>
                                        </w:r>
                                      </w:p>
                                    </w:tc>
                                    <w:tc>
                                      <w:tcPr>
                                        <w:tcW w:w="1133"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hint="eastAsia"/>
                                            <w:sz w:val="18"/>
                                          </w:rPr>
                                          <w:t>442.0</w:t>
                                        </w:r>
                                      </w:p>
                                    </w:tc>
                                    <w:tc>
                                      <w:tcPr>
                                        <w:tcW w:w="1006" w:type="dxa"/>
                                        <w:tcBorders>
                                          <w:right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860.6</w:t>
                                        </w:r>
                                      </w:p>
                                    </w:tc>
                                  </w:tr>
                                  <w:tr w:rsidR="00266CE0" w:rsidRPr="00B5318B" w:rsidTr="00317A4B">
                                    <w:trPr>
                                      <w:jc w:val="center"/>
                                    </w:trPr>
                                    <w:tc>
                                      <w:tcPr>
                                        <w:tcW w:w="1567" w:type="dxa"/>
                                        <w:tcBorders>
                                          <w:left w:val="single" w:sz="8" w:space="0" w:color="auto"/>
                                          <w:bottom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構成（％）</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9</w:t>
                                        </w:r>
                                        <w:r w:rsidRPr="00B5318B">
                                          <w:rPr>
                                            <w:rFonts w:ascii="ＭＳ 明朝" w:hAnsi="ＭＳ 明朝" w:hint="eastAsia"/>
                                            <w:sz w:val="18"/>
                                          </w:rPr>
                                          <w:t>2.2</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0.0</w:t>
                                        </w:r>
                                      </w:p>
                                    </w:tc>
                                    <w:tc>
                                      <w:tcPr>
                                        <w:tcW w:w="1001"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2.8</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0.0</w:t>
                                        </w:r>
                                      </w:p>
                                    </w:tc>
                                    <w:tc>
                                      <w:tcPr>
                                        <w:tcW w:w="1001"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9</w:t>
                                        </w:r>
                                        <w:r w:rsidRPr="00B5318B">
                                          <w:rPr>
                                            <w:rFonts w:ascii="ＭＳ 明朝" w:hAnsi="ＭＳ 明朝" w:hint="eastAsia"/>
                                            <w:sz w:val="18"/>
                                          </w:rPr>
                                          <w:t>5.0</w:t>
                                        </w:r>
                                      </w:p>
                                    </w:tc>
                                    <w:tc>
                                      <w:tcPr>
                                        <w:tcW w:w="1133"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hint="eastAsia"/>
                                            <w:sz w:val="18"/>
                                          </w:rPr>
                                          <w:t>5.0</w:t>
                                        </w:r>
                                      </w:p>
                                    </w:tc>
                                    <w:tc>
                                      <w:tcPr>
                                        <w:tcW w:w="1006" w:type="dxa"/>
                                        <w:tcBorders>
                                          <w:bottom w:val="single" w:sz="8" w:space="0" w:color="auto"/>
                                          <w:right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100.0</w:t>
                                        </w:r>
                                      </w:p>
                                    </w:tc>
                                  </w:tr>
                                </w:tbl>
                                <w:p w:rsidR="00266CE0" w:rsidRDefault="00266CE0" w:rsidP="00266CE0">
                                  <w:pPr>
                                    <w:spacing w:line="120" w:lineRule="exact"/>
                                  </w:pPr>
                                </w:p>
                                <w:p w:rsidR="00266CE0" w:rsidRPr="00B5318B" w:rsidRDefault="00266CE0" w:rsidP="00266CE0">
                                  <w:pPr>
                                    <w:spacing w:line="240" w:lineRule="exact"/>
                                    <w:jc w:val="center"/>
                                    <w:rPr>
                                      <w:rFonts w:ascii="ＭＳ ゴシック" w:eastAsia="ＭＳ ゴシック" w:hAnsi="ＭＳ ゴシック"/>
                                      <w:sz w:val="20"/>
                                    </w:rPr>
                                  </w:pPr>
                                  <w:r w:rsidRPr="00B5318B">
                                    <w:rPr>
                                      <w:rFonts w:ascii="ＭＳ ゴシック" w:eastAsia="ＭＳ ゴシック" w:hAnsi="ＭＳ ゴシック" w:hint="eastAsia"/>
                                      <w:sz w:val="20"/>
                                    </w:rPr>
                                    <w:t>大阪府域の生活排水適正処理率の推移</w:t>
                                  </w:r>
                                </w:p>
                                <w:p w:rsidR="00266CE0" w:rsidRPr="009D49F9" w:rsidRDefault="00266CE0" w:rsidP="00266CE0">
                                  <w:pPr>
                                    <w:jc w:val="center"/>
                                  </w:pPr>
                                  <w:r>
                                    <w:rPr>
                                      <w:noProof/>
                                    </w:rPr>
                                    <w:drawing>
                                      <wp:inline distT="0" distB="0" distL="0" distR="0" wp14:anchorId="5D871FAF" wp14:editId="23D774B9">
                                        <wp:extent cx="5612130" cy="1810385"/>
                                        <wp:effectExtent l="0" t="0" r="0" b="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CE0" w:rsidRPr="00737190" w:rsidRDefault="00266CE0" w:rsidP="00266CE0">
                                  <w:pPr>
                                    <w:snapToGrid w:val="0"/>
                                    <w:rPr>
                                      <w:sz w:val="22"/>
                                    </w:rPr>
                                  </w:pPr>
                                  <w:r w:rsidRPr="00737190">
                                    <w:rPr>
                                      <w:rFonts w:hint="eastAsia"/>
                                      <w:sz w:val="22"/>
                                    </w:rPr>
                                    <w:t xml:space="preserve">　また、「大阪府生活排水対策推進月間」（２月）を中心に、イベントや街頭啓発を通じて家庭でできる生活排水対策の実践の浸透を図っ</w:t>
                                  </w:r>
                                  <w:r w:rsidR="00C25831">
                                    <w:rPr>
                                      <w:rFonts w:hint="eastAsia"/>
                                      <w:sz w:val="22"/>
                                    </w:rPr>
                                    <w:t>ている</w:t>
                                  </w:r>
                                  <w:r w:rsidRPr="00737190">
                                    <w:rPr>
                                      <w:rFonts w:hint="eastAsia"/>
                                      <w:sz w:val="22"/>
                                    </w:rPr>
                                    <w:t>。</w:t>
                                  </w:r>
                                </w:p>
                                <w:p w:rsidR="00266CE0" w:rsidRPr="00875278" w:rsidRDefault="00266CE0" w:rsidP="00266CE0">
                                  <w:pPr>
                                    <w:snapToGrid w:val="0"/>
                                    <w:rPr>
                                      <w:sz w:val="16"/>
                                    </w:rPr>
                                  </w:pPr>
                                </w:p>
                                <w:p w:rsidR="00266CE0" w:rsidRPr="00A33B79" w:rsidRDefault="00266CE0" w:rsidP="00266CE0">
                                  <w:pPr>
                                    <w:snapToGrid w:val="0"/>
                                    <w:rPr>
                                      <w:rFonts w:ascii="ＭＳ ゴシック" w:eastAsia="ＭＳ ゴシック" w:hAnsi="ＭＳ ゴシック"/>
                                      <w:b/>
                                      <w:sz w:val="24"/>
                                    </w:rPr>
                                  </w:pPr>
                                  <w:r w:rsidRPr="00B37AA2">
                                    <w:rPr>
                                      <w:rFonts w:ascii="ＭＳ ゴシック" w:eastAsia="ＭＳ ゴシック" w:hAnsi="ＭＳ ゴシック" w:hint="eastAsia"/>
                                      <w:b/>
                                      <w:sz w:val="24"/>
                                      <w:lang w:eastAsia="zh-CN"/>
                                    </w:rPr>
                                    <w:t>●流域下水道事業</w:t>
                                  </w:r>
                                  <w:r w:rsidRPr="00A33B79">
                                    <w:rPr>
                                      <w:rFonts w:ascii="ＭＳ ゴシック" w:eastAsia="ＭＳ ゴシック" w:hAnsi="ＭＳ ゴシック" w:hint="eastAsia"/>
                                      <w:b/>
                                      <w:sz w:val="24"/>
                                      <w:szCs w:val="24"/>
                                      <w:lang w:eastAsia="zh-CN"/>
                                    </w:rPr>
                                    <w:t xml:space="preserve">　　</w:t>
                                  </w:r>
                                  <w:r w:rsidR="00C72780" w:rsidRPr="00C72780">
                                    <w:rPr>
                                      <w:rFonts w:ascii="ＭＳ ゴシック" w:eastAsia="ＭＳ ゴシック" w:hAnsi="ＭＳ ゴシック" w:hint="eastAsia"/>
                                      <w:sz w:val="24"/>
                                      <w:szCs w:val="24"/>
                                    </w:rPr>
                                    <w:t>＜</w:t>
                                  </w:r>
                                  <w:r w:rsidRPr="00A33B79">
                                    <w:rPr>
                                      <w:rFonts w:asciiTheme="minorEastAsia" w:hAnsiTheme="minorEastAsia" w:hint="eastAsia"/>
                                      <w:sz w:val="24"/>
                                      <w:szCs w:val="24"/>
                                      <w:lang w:eastAsia="zh-CN"/>
                                    </w:rPr>
                                    <w:t>下水道普及率</w:t>
                                  </w:r>
                                  <w:r w:rsidRPr="00A33B79">
                                    <w:rPr>
                                      <w:rFonts w:ascii="ＭＳ ゴシック" w:eastAsia="ＭＳ ゴシック" w:hAnsi="ＭＳ ゴシック" w:hint="eastAsia"/>
                                      <w:b/>
                                      <w:sz w:val="24"/>
                                      <w:szCs w:val="24"/>
                                      <w:lang w:eastAsia="zh-CN"/>
                                    </w:rPr>
                                    <w:t xml:space="preserve">　</w:t>
                                  </w:r>
                                  <w:r w:rsidRPr="00A33B79">
                                    <w:rPr>
                                      <w:rFonts w:asciiTheme="minorEastAsia" w:hAnsiTheme="minorEastAsia" w:hint="eastAsia"/>
                                      <w:sz w:val="24"/>
                                      <w:szCs w:val="24"/>
                                      <w:lang w:eastAsia="zh-CN"/>
                                    </w:rPr>
                                    <w:t>2</w:t>
                                  </w:r>
                                  <w:r>
                                    <w:rPr>
                                      <w:rFonts w:asciiTheme="minorEastAsia" w:hAnsiTheme="minorEastAsia" w:hint="eastAsia"/>
                                      <w:sz w:val="24"/>
                                      <w:szCs w:val="24"/>
                                    </w:rPr>
                                    <w:t>011</w:t>
                                  </w:r>
                                  <w:r w:rsidRPr="00A33B79">
                                    <w:rPr>
                                      <w:rFonts w:asciiTheme="minorEastAsia" w:hAnsiTheme="minorEastAsia" w:hint="eastAsia"/>
                                      <w:sz w:val="24"/>
                                      <w:szCs w:val="24"/>
                                      <w:lang w:eastAsia="zh-CN"/>
                                    </w:rPr>
                                    <w:t>年度　94.6% ⇒ 2</w:t>
                                  </w:r>
                                  <w:r>
                                    <w:rPr>
                                      <w:rFonts w:asciiTheme="minorEastAsia" w:hAnsiTheme="minorEastAsia" w:hint="eastAsia"/>
                                      <w:sz w:val="24"/>
                                      <w:szCs w:val="24"/>
                                    </w:rPr>
                                    <w:t>014</w:t>
                                  </w:r>
                                  <w:r w:rsidRPr="00A33B79">
                                    <w:rPr>
                                      <w:rFonts w:asciiTheme="minorEastAsia" w:hAnsiTheme="minorEastAsia" w:hint="eastAsia"/>
                                      <w:sz w:val="24"/>
                                      <w:szCs w:val="24"/>
                                      <w:lang w:eastAsia="zh-CN"/>
                                    </w:rPr>
                                    <w:t>年度　95.3%</w:t>
                                  </w:r>
                                  <w:r w:rsidR="00C72780">
                                    <w:rPr>
                                      <w:rFonts w:asciiTheme="minorEastAsia" w:hAnsiTheme="minorEastAsia" w:hint="eastAsia"/>
                                      <w:sz w:val="24"/>
                                      <w:szCs w:val="24"/>
                                    </w:rPr>
                                    <w:t>＞</w:t>
                                  </w:r>
                                </w:p>
                                <w:p w:rsidR="00266CE0" w:rsidRPr="00737190" w:rsidRDefault="00266CE0" w:rsidP="00266CE0">
                                  <w:pPr>
                                    <w:snapToGrid w:val="0"/>
                                    <w:rPr>
                                      <w:sz w:val="22"/>
                                    </w:rPr>
                                  </w:pPr>
                                  <w:r w:rsidRPr="00737190">
                                    <w:rPr>
                                      <w:rFonts w:hint="eastAsia"/>
                                      <w:sz w:val="22"/>
                                      <w:lang w:eastAsia="zh-CN"/>
                                    </w:rPr>
                                    <w:t xml:space="preserve">　</w:t>
                                  </w:r>
                                  <w:r w:rsidR="00C25831">
                                    <w:rPr>
                                      <w:rFonts w:hint="eastAsia"/>
                                      <w:sz w:val="22"/>
                                    </w:rPr>
                                    <w:t>府では</w:t>
                                  </w:r>
                                  <w:r w:rsidRPr="00737190">
                                    <w:rPr>
                                      <w:rFonts w:hint="eastAsia"/>
                                      <w:sz w:val="22"/>
                                    </w:rPr>
                                    <w:t>、流域下水道の幹線管渠、ポンプ場、水みらいセンター（下水処理場）の整備を推進し</w:t>
                                  </w:r>
                                  <w:r w:rsidR="00C25831">
                                    <w:rPr>
                                      <w:rFonts w:hint="eastAsia"/>
                                      <w:sz w:val="22"/>
                                    </w:rPr>
                                    <w:t>ている</w:t>
                                  </w:r>
                                  <w:r w:rsidRPr="00737190">
                                    <w:rPr>
                                      <w:rFonts w:hint="eastAsia"/>
                                      <w:sz w:val="22"/>
                                    </w:rPr>
                                    <w:t>。</w:t>
                                  </w:r>
                                </w:p>
                                <w:p w:rsidR="00266CE0" w:rsidRPr="00737190" w:rsidRDefault="00266CE0" w:rsidP="00266CE0">
                                  <w:pPr>
                                    <w:snapToGrid w:val="0"/>
                                    <w:rPr>
                                      <w:sz w:val="22"/>
                                    </w:rPr>
                                  </w:pPr>
                                  <w:r w:rsidRPr="00737190">
                                    <w:rPr>
                                      <w:rFonts w:hint="eastAsia"/>
                                      <w:sz w:val="22"/>
                                    </w:rPr>
                                    <w:t xml:space="preserve">　また、水みらいセンターにおいては、窒素・</w:t>
                                  </w:r>
                                  <w:r w:rsidR="00C25831">
                                    <w:rPr>
                                      <w:rFonts w:hint="eastAsia"/>
                                      <w:sz w:val="22"/>
                                    </w:rPr>
                                    <w:t>りん</w:t>
                                  </w:r>
                                  <w:r w:rsidRPr="00737190">
                                    <w:rPr>
                                      <w:rFonts w:hint="eastAsia"/>
                                      <w:sz w:val="22"/>
                                    </w:rPr>
                                    <w:t>等を除去する高度な水処理施設の整備を推進し、水みらいセンターとポンプ場においては合流式下水道の改善を推進し</w:t>
                                  </w:r>
                                  <w:r w:rsidR="00C25831">
                                    <w:rPr>
                                      <w:rFonts w:hint="eastAsia"/>
                                      <w:sz w:val="22"/>
                                    </w:rPr>
                                    <w:t>ている</w:t>
                                  </w:r>
                                  <w:r w:rsidRPr="00737190">
                                    <w:rPr>
                                      <w:rFonts w:hint="eastAsia"/>
                                      <w:sz w:val="22"/>
                                    </w:rPr>
                                    <w:t>。</w:t>
                                  </w:r>
                                </w:p>
                                <w:p w:rsidR="00266CE0" w:rsidRPr="00875278" w:rsidRDefault="00266CE0" w:rsidP="00266CE0">
                                  <w:pPr>
                                    <w:snapToGrid w:val="0"/>
                                    <w:rPr>
                                      <w:rFonts w:asciiTheme="minorEastAsia" w:hAnsiTheme="minorEastAsia"/>
                                      <w:b/>
                                      <w:sz w:val="16"/>
                                    </w:rPr>
                                  </w:pPr>
                                </w:p>
                                <w:p w:rsidR="00266CE0" w:rsidRPr="00A33B79" w:rsidRDefault="00266CE0" w:rsidP="00266CE0">
                                  <w:pPr>
                                    <w:snapToGrid w:val="0"/>
                                    <w:rPr>
                                      <w:rFonts w:ascii="ＭＳ ゴシック" w:eastAsia="ＭＳ ゴシック" w:hAnsi="ＭＳ ゴシック"/>
                                      <w:b/>
                                      <w:sz w:val="24"/>
                                    </w:rPr>
                                  </w:pPr>
                                  <w:r w:rsidRPr="00B37AA2">
                                    <w:rPr>
                                      <w:rFonts w:ascii="ＭＳ ゴシック" w:eastAsia="ＭＳ ゴシック" w:hAnsi="ＭＳ ゴシック" w:hint="eastAsia"/>
                                      <w:b/>
                                      <w:sz w:val="24"/>
                                    </w:rPr>
                                    <w:t>●浄化槽整備事業</w:t>
                                  </w:r>
                                  <w:r>
                                    <w:rPr>
                                      <w:rFonts w:ascii="ＭＳ ゴシック" w:eastAsia="ＭＳ ゴシック" w:hAnsi="ＭＳ ゴシック" w:hint="eastAsia"/>
                                      <w:b/>
                                      <w:sz w:val="24"/>
                                      <w:szCs w:val="24"/>
                                    </w:rPr>
                                    <w:t xml:space="preserve">　</w:t>
                                  </w:r>
                                  <w:r w:rsidRPr="00A33B79">
                                    <w:rPr>
                                      <w:rFonts w:ascii="ＭＳ ゴシック" w:eastAsia="ＭＳ ゴシック" w:hAnsi="ＭＳ ゴシック" w:hint="eastAsia"/>
                                      <w:b/>
                                      <w:sz w:val="24"/>
                                      <w:szCs w:val="24"/>
                                    </w:rPr>
                                    <w:t xml:space="preserve">　</w:t>
                                  </w:r>
                                  <w:r w:rsidR="00C72780" w:rsidRPr="00C72780">
                                    <w:rPr>
                                      <w:rFonts w:ascii="ＭＳ ゴシック" w:eastAsia="ＭＳ ゴシック" w:hAnsi="ＭＳ ゴシック" w:hint="eastAsia"/>
                                      <w:sz w:val="24"/>
                                      <w:szCs w:val="24"/>
                                    </w:rPr>
                                    <w:t>＜</w:t>
                                  </w:r>
                                  <w:r w:rsidRPr="00A33B79">
                                    <w:rPr>
                                      <w:rFonts w:asciiTheme="minorEastAsia" w:hAnsiTheme="minorEastAsia" w:hint="eastAsia"/>
                                      <w:sz w:val="24"/>
                                      <w:szCs w:val="24"/>
                                    </w:rPr>
                                    <w:t>2</w:t>
                                  </w:r>
                                  <w:r>
                                    <w:rPr>
                                      <w:rFonts w:asciiTheme="minorEastAsia" w:hAnsiTheme="minorEastAsia" w:hint="eastAsia"/>
                                      <w:sz w:val="24"/>
                                      <w:szCs w:val="24"/>
                                    </w:rPr>
                                    <w:t>011</w:t>
                                  </w:r>
                                  <w:r w:rsidRPr="00A33B79">
                                    <w:rPr>
                                      <w:rFonts w:asciiTheme="minorEastAsia" w:hAnsiTheme="minorEastAsia" w:hint="eastAsia"/>
                                      <w:sz w:val="24"/>
                                      <w:szCs w:val="24"/>
                                    </w:rPr>
                                    <w:t>～2</w:t>
                                  </w:r>
                                  <w:r>
                                    <w:rPr>
                                      <w:rFonts w:asciiTheme="minorEastAsia" w:hAnsiTheme="minorEastAsia" w:hint="eastAsia"/>
                                      <w:sz w:val="24"/>
                                      <w:szCs w:val="24"/>
                                    </w:rPr>
                                    <w:t>014</w:t>
                                  </w:r>
                                  <w:r w:rsidRPr="00A33B79">
                                    <w:rPr>
                                      <w:rFonts w:asciiTheme="minorEastAsia" w:hAnsiTheme="minorEastAsia" w:hint="eastAsia"/>
                                      <w:sz w:val="24"/>
                                      <w:szCs w:val="24"/>
                                    </w:rPr>
                                    <w:t>年度　延べ622基設置</w:t>
                                  </w:r>
                                  <w:r w:rsidR="00C72780">
                                    <w:rPr>
                                      <w:rFonts w:asciiTheme="minorEastAsia" w:hAnsiTheme="minorEastAsia" w:hint="eastAsia"/>
                                      <w:sz w:val="24"/>
                                      <w:szCs w:val="24"/>
                                    </w:rPr>
                                    <w:t>＞</w:t>
                                  </w:r>
                                </w:p>
                                <w:p w:rsidR="00266CE0" w:rsidRPr="001A56F6" w:rsidRDefault="00266CE0" w:rsidP="00266CE0">
                                  <w:pPr>
                                    <w:snapToGrid w:val="0"/>
                                  </w:pPr>
                                  <w:r w:rsidRPr="00A33B79">
                                    <w:rPr>
                                      <w:rFonts w:hint="eastAsia"/>
                                    </w:rPr>
                                    <w:t xml:space="preserve">　</w:t>
                                  </w:r>
                                  <w:r w:rsidRPr="00737190">
                                    <w:rPr>
                                      <w:rFonts w:hint="eastAsia"/>
                                      <w:sz w:val="22"/>
                                    </w:rPr>
                                    <w:t>個人が浄化槽を設置する際の費用の一部助成及び市町村が主体となって各戸に浄化槽を整備し、住民から使用料を徴収して管理運営する事業を実施する市町村への府費補助金の交付を引き続き行うなど、浄化槽整備の促進を図っ</w:t>
                                  </w:r>
                                  <w:r w:rsidR="00C25831">
                                    <w:rPr>
                                      <w:rFonts w:hint="eastAsia"/>
                                      <w:sz w:val="22"/>
                                    </w:rPr>
                                    <w:t>ている</w:t>
                                  </w:r>
                                  <w:r w:rsidRPr="00737190">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0" o:spid="_x0000_s1030" type="#_x0000_t65" style="position:absolute;left:0;text-align:left;margin-left:2.8pt;margin-top:4.25pt;width:528.85pt;height:51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" adj="21232" filled="f" stroked="f">
                      <v:textbox inset="5.85pt,.7pt,5.85pt,.7pt">
                        <w:txbxContent>
                          <w:p w:rsidR="00266CE0" w:rsidRPr="006D0CD7" w:rsidRDefault="00266CE0" w:rsidP="00266CE0">
                            <w:pPr>
                              <w:rPr>
                                <w:rFonts w:ascii="ＭＳ ゴシック" w:eastAsia="ＭＳ ゴシック" w:hAnsi="ＭＳ ゴシック"/>
                                <w:b/>
                                <w:sz w:val="24"/>
                              </w:rPr>
                            </w:pPr>
                            <w:r w:rsidRPr="00B37AA2">
                              <w:rPr>
                                <w:rFonts w:ascii="ＭＳ ゴシック" w:eastAsia="ＭＳ ゴシック" w:hAnsi="ＭＳ ゴシック" w:hint="eastAsia"/>
                                <w:b/>
                                <w:sz w:val="24"/>
                              </w:rPr>
                              <w:t>●生活排水対策事業</w:t>
                            </w:r>
                            <w:r w:rsidRPr="00A33B79">
                              <w:rPr>
                                <w:rFonts w:ascii="ＭＳ ゴシック" w:eastAsia="ＭＳ ゴシック" w:hAnsi="ＭＳ ゴシック" w:hint="eastAsia"/>
                                <w:b/>
                                <w:sz w:val="24"/>
                                <w:szCs w:val="24"/>
                                <w:lang w:eastAsia="zh-CN"/>
                              </w:rPr>
                              <w:t xml:space="preserve">　　</w:t>
                            </w:r>
                            <w:r w:rsidR="00C72780" w:rsidRPr="00C72780">
                              <w:rPr>
                                <w:rFonts w:ascii="ＭＳ ゴシック" w:eastAsia="ＭＳ ゴシック" w:hAnsi="ＭＳ ゴシック" w:hint="eastAsia"/>
                                <w:sz w:val="24"/>
                                <w:szCs w:val="24"/>
                              </w:rPr>
                              <w:t>＜</w:t>
                            </w:r>
                            <w:r w:rsidRPr="007E601D">
                              <w:rPr>
                                <w:rFonts w:asciiTheme="minorEastAsia" w:hAnsiTheme="minorEastAsia" w:hint="eastAsia"/>
                                <w:sz w:val="24"/>
                                <w:szCs w:val="24"/>
                                <w:lang w:eastAsia="zh-CN"/>
                              </w:rPr>
                              <w:t>生活排水適正処理率</w:t>
                            </w:r>
                            <w:r w:rsidRPr="00A33B79">
                              <w:rPr>
                                <w:rFonts w:ascii="ＭＳ ゴシック" w:eastAsia="ＭＳ ゴシック" w:hAnsi="ＭＳ ゴシック" w:hint="eastAsia"/>
                                <w:b/>
                                <w:sz w:val="24"/>
                                <w:szCs w:val="24"/>
                                <w:lang w:eastAsia="zh-CN"/>
                              </w:rPr>
                              <w:t xml:space="preserve">　</w:t>
                            </w:r>
                            <w:r w:rsidRPr="00A33B79">
                              <w:rPr>
                                <w:rFonts w:asciiTheme="minorEastAsia" w:hAnsiTheme="minorEastAsia" w:hint="eastAsia"/>
                                <w:sz w:val="24"/>
                                <w:szCs w:val="24"/>
                                <w:lang w:eastAsia="zh-CN"/>
                              </w:rPr>
                              <w:t>2</w:t>
                            </w:r>
                            <w:r>
                              <w:rPr>
                                <w:rFonts w:asciiTheme="minorEastAsia" w:hAnsiTheme="minorEastAsia" w:hint="eastAsia"/>
                                <w:sz w:val="24"/>
                                <w:szCs w:val="24"/>
                              </w:rPr>
                              <w:t>011</w:t>
                            </w:r>
                            <w:r w:rsidRPr="00A33B79">
                              <w:rPr>
                                <w:rFonts w:asciiTheme="minorEastAsia" w:hAnsiTheme="minorEastAsia" w:hint="eastAsia"/>
                                <w:sz w:val="24"/>
                                <w:szCs w:val="24"/>
                                <w:lang w:eastAsia="zh-CN"/>
                              </w:rPr>
                              <w:t>年度　9</w:t>
                            </w:r>
                            <w:r>
                              <w:rPr>
                                <w:rFonts w:asciiTheme="minorEastAsia" w:hAnsiTheme="minorEastAsia" w:hint="eastAsia"/>
                                <w:sz w:val="24"/>
                                <w:szCs w:val="24"/>
                              </w:rPr>
                              <w:t>3</w:t>
                            </w:r>
                            <w:r w:rsidRPr="00A33B79">
                              <w:rPr>
                                <w:rFonts w:asciiTheme="minorEastAsia" w:hAnsiTheme="minorEastAsia" w:hint="eastAsia"/>
                                <w:sz w:val="24"/>
                                <w:szCs w:val="24"/>
                                <w:lang w:eastAsia="zh-CN"/>
                              </w:rPr>
                              <w:t>.</w:t>
                            </w:r>
                            <w:r>
                              <w:rPr>
                                <w:rFonts w:asciiTheme="minorEastAsia" w:hAnsiTheme="minorEastAsia" w:hint="eastAsia"/>
                                <w:sz w:val="24"/>
                                <w:szCs w:val="24"/>
                              </w:rPr>
                              <w:t>7</w:t>
                            </w:r>
                            <w:r w:rsidRPr="00A33B79">
                              <w:rPr>
                                <w:rFonts w:asciiTheme="minorEastAsia" w:hAnsiTheme="minorEastAsia" w:hint="eastAsia"/>
                                <w:sz w:val="24"/>
                                <w:szCs w:val="24"/>
                                <w:lang w:eastAsia="zh-CN"/>
                              </w:rPr>
                              <w:t>% ⇒ 2</w:t>
                            </w:r>
                            <w:r>
                              <w:rPr>
                                <w:rFonts w:asciiTheme="minorEastAsia" w:hAnsiTheme="minorEastAsia" w:hint="eastAsia"/>
                                <w:sz w:val="24"/>
                                <w:szCs w:val="24"/>
                              </w:rPr>
                              <w:t>014</w:t>
                            </w:r>
                            <w:r w:rsidRPr="00A33B79">
                              <w:rPr>
                                <w:rFonts w:asciiTheme="minorEastAsia" w:hAnsiTheme="minorEastAsia" w:hint="eastAsia"/>
                                <w:sz w:val="24"/>
                                <w:szCs w:val="24"/>
                                <w:lang w:eastAsia="zh-CN"/>
                              </w:rPr>
                              <w:t>年度　95.</w:t>
                            </w:r>
                            <w:r>
                              <w:rPr>
                                <w:rFonts w:asciiTheme="minorEastAsia" w:hAnsiTheme="minorEastAsia" w:hint="eastAsia"/>
                                <w:sz w:val="24"/>
                                <w:szCs w:val="24"/>
                              </w:rPr>
                              <w:t>0</w:t>
                            </w:r>
                            <w:r w:rsidRPr="00A33B79">
                              <w:rPr>
                                <w:rFonts w:asciiTheme="minorEastAsia" w:hAnsiTheme="minorEastAsia" w:hint="eastAsia"/>
                                <w:sz w:val="24"/>
                                <w:szCs w:val="24"/>
                                <w:lang w:eastAsia="zh-CN"/>
                              </w:rPr>
                              <w:t>%</w:t>
                            </w:r>
                            <w:r w:rsidR="00C72780">
                              <w:rPr>
                                <w:rFonts w:asciiTheme="minorEastAsia" w:hAnsiTheme="minorEastAsia" w:hint="eastAsia"/>
                                <w:sz w:val="24"/>
                                <w:szCs w:val="24"/>
                              </w:rPr>
                              <w:t>＞</w:t>
                            </w:r>
                          </w:p>
                          <w:p w:rsidR="00266CE0" w:rsidRPr="00A94746" w:rsidRDefault="00266CE0" w:rsidP="00266CE0">
                            <w:pPr>
                              <w:snapToGrid w:val="0"/>
                              <w:rPr>
                                <w:rFonts w:asciiTheme="minorEastAsia" w:hAnsiTheme="minorEastAsia"/>
                                <w:sz w:val="22"/>
                              </w:rPr>
                            </w:pPr>
                            <w:r w:rsidRPr="00A94746">
                              <w:rPr>
                                <w:rFonts w:asciiTheme="minorEastAsia" w:hAnsiTheme="minorEastAsia" w:hint="eastAsia"/>
                              </w:rPr>
                              <w:t xml:space="preserve">　</w:t>
                            </w:r>
                            <w:r w:rsidRPr="00A94746">
                              <w:rPr>
                                <w:rFonts w:asciiTheme="minorEastAsia" w:hAnsiTheme="minorEastAsia" w:hint="eastAsia"/>
                                <w:sz w:val="22"/>
                              </w:rPr>
                              <w:t>生活排水処理施設整備の事業主体である市町村の生活排水処理計画の見直し等の際に市町村に対し技術的支援を行い、市町村における下水道や合併処理浄化槽等の生活排水処理施設の効率的・効果的な整備を促進し</w:t>
                            </w:r>
                            <w:r w:rsidR="00C25831">
                              <w:rPr>
                                <w:rFonts w:asciiTheme="minorEastAsia" w:hAnsiTheme="minorEastAsia" w:hint="eastAsia"/>
                                <w:sz w:val="22"/>
                              </w:rPr>
                              <w:t>ている</w:t>
                            </w:r>
                            <w:r w:rsidRPr="00A94746">
                              <w:rPr>
                                <w:rFonts w:asciiTheme="minorEastAsia" w:hAnsiTheme="minorEastAsia" w:hint="eastAsia"/>
                                <w:sz w:val="22"/>
                              </w:rPr>
                              <w:t>。</w:t>
                            </w:r>
                          </w:p>
                          <w:p w:rsidR="00266CE0" w:rsidRPr="00A94746" w:rsidRDefault="00266CE0" w:rsidP="00266CE0">
                            <w:pPr>
                              <w:snapToGrid w:val="0"/>
                              <w:rPr>
                                <w:rFonts w:asciiTheme="minorEastAsia" w:hAnsiTheme="minorEastAsia"/>
                                <w:sz w:val="22"/>
                              </w:rPr>
                            </w:pPr>
                            <w:r w:rsidRPr="00A94746">
                              <w:rPr>
                                <w:rFonts w:asciiTheme="minorEastAsia" w:hAnsiTheme="minorEastAsia" w:hint="eastAsia"/>
                                <w:sz w:val="22"/>
                              </w:rPr>
                              <w:t xml:space="preserve">　府域の生活排水適正処理率は、生活排水処理施設の整備に伴い、着実に向上してきており、2014年度末現在で95.0%となっている。</w:t>
                            </w:r>
                          </w:p>
                          <w:p w:rsidR="00266CE0" w:rsidRPr="00B5318B" w:rsidRDefault="00266CE0" w:rsidP="00266CE0">
                            <w:pPr>
                              <w:tabs>
                                <w:tab w:val="center" w:pos="4395"/>
                                <w:tab w:val="right" w:pos="9214"/>
                              </w:tabs>
                              <w:rPr>
                                <w:rFonts w:ascii="ＭＳ ゴシック" w:eastAsia="ＭＳ ゴシック" w:hAnsi="ＭＳ ゴシック"/>
                                <w:sz w:val="16"/>
                              </w:rPr>
                            </w:pPr>
                            <w:r w:rsidRPr="00B5318B">
                              <w:rPr>
                                <w:rFonts w:ascii="ＭＳ ゴシック" w:eastAsia="ＭＳ ゴシック" w:hAnsi="ＭＳ ゴシック" w:hint="eastAsia"/>
                                <w:sz w:val="20"/>
                              </w:rPr>
                              <w:tab/>
                              <w:t>処理形態別人口と割合</w:t>
                            </w:r>
                            <w:r w:rsidRPr="00B5318B">
                              <w:rPr>
                                <w:rFonts w:ascii="ＭＳ ゴシック" w:eastAsia="ＭＳ ゴシック" w:hAnsi="ＭＳ ゴシック"/>
                                <w:sz w:val="20"/>
                              </w:rPr>
                              <w:tab/>
                            </w:r>
                            <w:r>
                              <w:rPr>
                                <w:rFonts w:ascii="ＭＳ ゴシック" w:eastAsia="ＭＳ ゴシック" w:hAnsi="ＭＳ ゴシック" w:hint="eastAsia"/>
                                <w:sz w:val="16"/>
                              </w:rPr>
                              <w:t>（</w:t>
                            </w:r>
                            <w:r w:rsidRPr="00B5318B">
                              <w:rPr>
                                <w:rFonts w:ascii="ＭＳ ゴシック" w:eastAsia="ＭＳ ゴシック" w:hAnsi="ＭＳ ゴシック" w:hint="eastAsia"/>
                                <w:sz w:val="16"/>
                              </w:rPr>
                              <w:t>2</w:t>
                            </w:r>
                            <w:r>
                              <w:rPr>
                                <w:rFonts w:ascii="ＭＳ ゴシック" w:eastAsia="ＭＳ ゴシック" w:hAnsi="ＭＳ ゴシック" w:hint="eastAsia"/>
                                <w:sz w:val="16"/>
                              </w:rPr>
                              <w:t>014</w:t>
                            </w:r>
                            <w:r w:rsidRPr="00B5318B">
                              <w:rPr>
                                <w:rFonts w:ascii="ＭＳ ゴシック" w:eastAsia="ＭＳ ゴシック" w:hAnsi="ＭＳ ゴシック" w:hint="eastAsia"/>
                                <w:sz w:val="16"/>
                              </w:rPr>
                              <w:t>年度末現在）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7"/>
                              <w:gridCol w:w="1000"/>
                              <w:gridCol w:w="1000"/>
                              <w:gridCol w:w="1001"/>
                              <w:gridCol w:w="1000"/>
                              <w:gridCol w:w="1001"/>
                              <w:gridCol w:w="1133"/>
                              <w:gridCol w:w="1006"/>
                            </w:tblGrid>
                            <w:tr w:rsidR="00266CE0" w:rsidRPr="00B5318B" w:rsidTr="00317A4B">
                              <w:trPr>
                                <w:jc w:val="center"/>
                              </w:trPr>
                              <w:tc>
                                <w:tcPr>
                                  <w:tcW w:w="1567" w:type="dxa"/>
                                  <w:vMerge w:val="restart"/>
                                  <w:tcBorders>
                                    <w:top w:val="single" w:sz="8" w:space="0" w:color="auto"/>
                                    <w:lef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整備手法</w:t>
                                  </w:r>
                                </w:p>
                              </w:tc>
                              <w:tc>
                                <w:tcPr>
                                  <w:tcW w:w="5002" w:type="dxa"/>
                                  <w:gridSpan w:val="5"/>
                                  <w:tcBorders>
                                    <w:top w:val="single" w:sz="8" w:space="0" w:color="auto"/>
                                    <w:bottom w:val="nil"/>
                                  </w:tcBorders>
                                  <w:shd w:val="clear" w:color="auto" w:fill="CCFFCC"/>
                                  <w:vAlign w:val="center"/>
                                </w:tcPr>
                                <w:p w:rsidR="00266CE0" w:rsidRPr="00B5318B" w:rsidRDefault="00266CE0" w:rsidP="00317A4B">
                                  <w:pPr>
                                    <w:autoSpaceDE w:val="0"/>
                                    <w:autoSpaceDN w:val="0"/>
                                    <w:spacing w:line="200" w:lineRule="exact"/>
                                    <w:ind w:right="110"/>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生活雑排水処理人口</w:t>
                                  </w:r>
                                </w:p>
                              </w:tc>
                              <w:tc>
                                <w:tcPr>
                                  <w:tcW w:w="1133" w:type="dxa"/>
                                  <w:vMerge w:val="restart"/>
                                  <w:tcBorders>
                                    <w:top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6"/>
                                      <w:sz w:val="18"/>
                                      <w:szCs w:val="21"/>
                                    </w:rPr>
                                  </w:pPr>
                                  <w:r w:rsidRPr="00B5318B">
                                    <w:rPr>
                                      <w:rFonts w:ascii="ＭＳ Ｐゴシック" w:eastAsia="ＭＳ Ｐゴシック" w:hAnsi="ＭＳ Ｐゴシック" w:hint="eastAsia"/>
                                      <w:color w:val="000000"/>
                                      <w:spacing w:val="-6"/>
                                      <w:sz w:val="18"/>
                                      <w:szCs w:val="21"/>
                                    </w:rPr>
                                    <w:t>生活雑排水</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6"/>
                                      <w:sz w:val="18"/>
                                      <w:szCs w:val="21"/>
                                    </w:rPr>
                                  </w:pPr>
                                  <w:r w:rsidRPr="00B5318B">
                                    <w:rPr>
                                      <w:rFonts w:ascii="ＭＳ Ｐゴシック" w:eastAsia="ＭＳ Ｐゴシック" w:hAnsi="ＭＳ Ｐゴシック" w:hint="eastAsia"/>
                                      <w:color w:val="000000"/>
                                      <w:spacing w:val="-6"/>
                                      <w:sz w:val="18"/>
                                      <w:szCs w:val="21"/>
                                    </w:rPr>
                                    <w:t>未処理人口</w:t>
                                  </w:r>
                                </w:p>
                              </w:tc>
                              <w:tc>
                                <w:tcPr>
                                  <w:tcW w:w="1006" w:type="dxa"/>
                                  <w:vMerge w:val="restart"/>
                                  <w:tcBorders>
                                    <w:top w:val="single" w:sz="8" w:space="0" w:color="auto"/>
                                    <w:righ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総人口</w:t>
                                  </w:r>
                                </w:p>
                              </w:tc>
                            </w:tr>
                            <w:tr w:rsidR="00266CE0" w:rsidRPr="00B5318B" w:rsidTr="00317A4B">
                              <w:trPr>
                                <w:jc w:val="center"/>
                              </w:trPr>
                              <w:tc>
                                <w:tcPr>
                                  <w:tcW w:w="1567" w:type="dxa"/>
                                  <w:vMerge/>
                                  <w:tcBorders>
                                    <w:left w:val="single" w:sz="8" w:space="0" w:color="auto"/>
                                    <w:bottom w:val="single" w:sz="4"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4"/>
                                      <w:sz w:val="18"/>
                                      <w:szCs w:val="21"/>
                                    </w:rPr>
                                  </w:pPr>
                                  <w:r w:rsidRPr="00B5318B">
                                    <w:rPr>
                                      <w:rFonts w:ascii="ＭＳ Ｐゴシック" w:eastAsia="ＭＳ Ｐゴシック" w:hAnsi="ＭＳ Ｐゴシック" w:hint="eastAsia"/>
                                      <w:color w:val="000000"/>
                                      <w:spacing w:val="-4"/>
                                      <w:sz w:val="18"/>
                                      <w:szCs w:val="21"/>
                                    </w:rPr>
                                    <w:t>公　共</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4"/>
                                      <w:sz w:val="18"/>
                                      <w:szCs w:val="21"/>
                                    </w:rPr>
                                  </w:pPr>
                                  <w:r w:rsidRPr="00B5318B">
                                    <w:rPr>
                                      <w:rFonts w:ascii="ＭＳ Ｐゴシック" w:eastAsia="ＭＳ Ｐゴシック" w:hAnsi="ＭＳ Ｐゴシック" w:hint="eastAsia"/>
                                      <w:color w:val="000000"/>
                                      <w:spacing w:val="-4"/>
                                      <w:sz w:val="18"/>
                                      <w:szCs w:val="21"/>
                                    </w:rPr>
                                    <w:t>下水道</w:t>
                                  </w: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農業集落</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排水施設</w:t>
                                  </w:r>
                                </w:p>
                              </w:tc>
                              <w:tc>
                                <w:tcPr>
                                  <w:tcW w:w="1001"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合併処理</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pacing w:val="-20"/>
                                      <w:sz w:val="18"/>
                                      <w:szCs w:val="21"/>
                                    </w:rPr>
                                    <w:t>浄化槽</w:t>
                                  </w:r>
                                </w:p>
                              </w:tc>
                              <w:tc>
                                <w:tcPr>
                                  <w:tcW w:w="1000" w:type="dxa"/>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コミュニティ</w:t>
                                  </w:r>
                                </w:p>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pacing w:val="-20"/>
                                      <w:sz w:val="18"/>
                                      <w:szCs w:val="21"/>
                                    </w:rPr>
                                  </w:pPr>
                                  <w:r w:rsidRPr="00B5318B">
                                    <w:rPr>
                                      <w:rFonts w:ascii="ＭＳ Ｐゴシック" w:eastAsia="ＭＳ Ｐゴシック" w:hAnsi="ＭＳ Ｐゴシック" w:hint="eastAsia"/>
                                      <w:color w:val="000000"/>
                                      <w:spacing w:val="-20"/>
                                      <w:sz w:val="18"/>
                                      <w:szCs w:val="21"/>
                                    </w:rPr>
                                    <w:t>プラント</w:t>
                                  </w:r>
                                </w:p>
                              </w:tc>
                              <w:tc>
                                <w:tcPr>
                                  <w:tcW w:w="1001" w:type="dxa"/>
                                  <w:tcBorders>
                                    <w:top w:val="nil"/>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133" w:type="dxa"/>
                                  <w:vMerge/>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c>
                                <w:tcPr>
                                  <w:tcW w:w="1006" w:type="dxa"/>
                                  <w:vMerge/>
                                  <w:tcBorders>
                                    <w:righ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p>
                              </w:tc>
                            </w:tr>
                            <w:tr w:rsidR="00266CE0" w:rsidRPr="00B5318B" w:rsidTr="00317A4B">
                              <w:trPr>
                                <w:jc w:val="center"/>
                              </w:trPr>
                              <w:tc>
                                <w:tcPr>
                                  <w:tcW w:w="1567" w:type="dxa"/>
                                  <w:tcBorders>
                                    <w:left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処理人口（千人）</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167.4</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0.8</w:t>
                                  </w:r>
                                </w:p>
                              </w:tc>
                              <w:tc>
                                <w:tcPr>
                                  <w:tcW w:w="1001"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2</w:t>
                                  </w:r>
                                  <w:r w:rsidRPr="00B5318B">
                                    <w:rPr>
                                      <w:rFonts w:ascii="ＭＳ 明朝" w:hAnsi="ＭＳ 明朝" w:hint="eastAsia"/>
                                      <w:sz w:val="18"/>
                                    </w:rPr>
                                    <w:t>50.0</w:t>
                                  </w:r>
                                </w:p>
                              </w:tc>
                              <w:tc>
                                <w:tcPr>
                                  <w:tcW w:w="1000"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0.5</w:t>
                                  </w:r>
                                </w:p>
                              </w:tc>
                              <w:tc>
                                <w:tcPr>
                                  <w:tcW w:w="1001"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418.7</w:t>
                                  </w:r>
                                </w:p>
                              </w:tc>
                              <w:tc>
                                <w:tcPr>
                                  <w:tcW w:w="1133" w:type="dxa"/>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hint="eastAsia"/>
                                      <w:sz w:val="18"/>
                                    </w:rPr>
                                    <w:t>442.0</w:t>
                                  </w:r>
                                </w:p>
                              </w:tc>
                              <w:tc>
                                <w:tcPr>
                                  <w:tcW w:w="1006" w:type="dxa"/>
                                  <w:tcBorders>
                                    <w:right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8</w:t>
                                  </w:r>
                                  <w:r w:rsidRPr="00B5318B">
                                    <w:rPr>
                                      <w:rFonts w:ascii="ＭＳ 明朝" w:hAnsi="ＭＳ 明朝" w:hint="eastAsia"/>
                                      <w:sz w:val="18"/>
                                    </w:rPr>
                                    <w:t>860.6</w:t>
                                  </w:r>
                                </w:p>
                              </w:tc>
                            </w:tr>
                            <w:tr w:rsidR="00266CE0" w:rsidRPr="00B5318B" w:rsidTr="00317A4B">
                              <w:trPr>
                                <w:jc w:val="center"/>
                              </w:trPr>
                              <w:tc>
                                <w:tcPr>
                                  <w:tcW w:w="1567" w:type="dxa"/>
                                  <w:tcBorders>
                                    <w:left w:val="single" w:sz="8" w:space="0" w:color="auto"/>
                                    <w:bottom w:val="single" w:sz="8" w:space="0" w:color="auto"/>
                                  </w:tcBorders>
                                  <w:shd w:val="clear" w:color="auto" w:fill="CCFFCC"/>
                                  <w:vAlign w:val="center"/>
                                </w:tcPr>
                                <w:p w:rsidR="00266CE0" w:rsidRPr="00B5318B" w:rsidRDefault="00266CE0" w:rsidP="00317A4B">
                                  <w:pPr>
                                    <w:autoSpaceDE w:val="0"/>
                                    <w:autoSpaceDN w:val="0"/>
                                    <w:spacing w:line="200" w:lineRule="exact"/>
                                    <w:jc w:val="center"/>
                                    <w:rPr>
                                      <w:rFonts w:ascii="ＭＳ Ｐゴシック" w:eastAsia="ＭＳ Ｐゴシック" w:hAnsi="ＭＳ Ｐゴシック"/>
                                      <w:color w:val="000000"/>
                                      <w:sz w:val="18"/>
                                      <w:szCs w:val="21"/>
                                    </w:rPr>
                                  </w:pPr>
                                  <w:r w:rsidRPr="00B5318B">
                                    <w:rPr>
                                      <w:rFonts w:ascii="ＭＳ Ｐゴシック" w:eastAsia="ＭＳ Ｐゴシック" w:hAnsi="ＭＳ Ｐゴシック" w:hint="eastAsia"/>
                                      <w:color w:val="000000"/>
                                      <w:sz w:val="18"/>
                                      <w:szCs w:val="21"/>
                                    </w:rPr>
                                    <w:t>構成（％）</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9</w:t>
                                  </w:r>
                                  <w:r w:rsidRPr="00B5318B">
                                    <w:rPr>
                                      <w:rFonts w:ascii="ＭＳ 明朝" w:hAnsi="ＭＳ 明朝" w:hint="eastAsia"/>
                                      <w:sz w:val="18"/>
                                    </w:rPr>
                                    <w:t>2.2</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0.0</w:t>
                                  </w:r>
                                </w:p>
                              </w:tc>
                              <w:tc>
                                <w:tcPr>
                                  <w:tcW w:w="1001"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2.8</w:t>
                                  </w:r>
                                </w:p>
                              </w:tc>
                              <w:tc>
                                <w:tcPr>
                                  <w:tcW w:w="1000"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0.0</w:t>
                                  </w:r>
                                </w:p>
                              </w:tc>
                              <w:tc>
                                <w:tcPr>
                                  <w:tcW w:w="1001"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9</w:t>
                                  </w:r>
                                  <w:r w:rsidRPr="00B5318B">
                                    <w:rPr>
                                      <w:rFonts w:ascii="ＭＳ 明朝" w:hAnsi="ＭＳ 明朝" w:hint="eastAsia"/>
                                      <w:sz w:val="18"/>
                                    </w:rPr>
                                    <w:t>5.0</w:t>
                                  </w:r>
                                </w:p>
                              </w:tc>
                              <w:tc>
                                <w:tcPr>
                                  <w:tcW w:w="1133" w:type="dxa"/>
                                  <w:tcBorders>
                                    <w:bottom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hint="eastAsia"/>
                                      <w:sz w:val="18"/>
                                    </w:rPr>
                                    <w:t>5.0</w:t>
                                  </w:r>
                                </w:p>
                              </w:tc>
                              <w:tc>
                                <w:tcPr>
                                  <w:tcW w:w="1006" w:type="dxa"/>
                                  <w:tcBorders>
                                    <w:bottom w:val="single" w:sz="8" w:space="0" w:color="auto"/>
                                    <w:right w:val="single" w:sz="8" w:space="0" w:color="auto"/>
                                  </w:tcBorders>
                                  <w:vAlign w:val="center"/>
                                </w:tcPr>
                                <w:p w:rsidR="00266CE0" w:rsidRPr="00B5318B" w:rsidRDefault="00266CE0" w:rsidP="00317A4B">
                                  <w:pPr>
                                    <w:autoSpaceDE w:val="0"/>
                                    <w:autoSpaceDN w:val="0"/>
                                    <w:spacing w:line="200" w:lineRule="exact"/>
                                    <w:jc w:val="center"/>
                                    <w:rPr>
                                      <w:rFonts w:ascii="ＭＳ 明朝" w:hAnsi="ＭＳ 明朝"/>
                                      <w:color w:val="000000"/>
                                      <w:sz w:val="18"/>
                                      <w:szCs w:val="21"/>
                                    </w:rPr>
                                  </w:pPr>
                                  <w:r w:rsidRPr="00B5318B">
                                    <w:rPr>
                                      <w:rFonts w:ascii="ＭＳ 明朝" w:hAnsi="ＭＳ 明朝"/>
                                      <w:sz w:val="18"/>
                                    </w:rPr>
                                    <w:t>100.0</w:t>
                                  </w:r>
                                </w:p>
                              </w:tc>
                            </w:tr>
                          </w:tbl>
                          <w:p w:rsidR="00266CE0" w:rsidRDefault="00266CE0" w:rsidP="00266CE0">
                            <w:pPr>
                              <w:spacing w:line="120" w:lineRule="exact"/>
                            </w:pPr>
                          </w:p>
                          <w:p w:rsidR="00266CE0" w:rsidRPr="00B5318B" w:rsidRDefault="00266CE0" w:rsidP="00266CE0">
                            <w:pPr>
                              <w:spacing w:line="240" w:lineRule="exact"/>
                              <w:jc w:val="center"/>
                              <w:rPr>
                                <w:rFonts w:ascii="ＭＳ ゴシック" w:eastAsia="ＭＳ ゴシック" w:hAnsi="ＭＳ ゴシック"/>
                                <w:sz w:val="20"/>
                              </w:rPr>
                            </w:pPr>
                            <w:r w:rsidRPr="00B5318B">
                              <w:rPr>
                                <w:rFonts w:ascii="ＭＳ ゴシック" w:eastAsia="ＭＳ ゴシック" w:hAnsi="ＭＳ ゴシック" w:hint="eastAsia"/>
                                <w:sz w:val="20"/>
                              </w:rPr>
                              <w:t>大阪府域の生活排水適正処理率の推移</w:t>
                            </w:r>
                          </w:p>
                          <w:p w:rsidR="00266CE0" w:rsidRPr="009D49F9" w:rsidRDefault="00266CE0" w:rsidP="00266CE0">
                            <w:pPr>
                              <w:jc w:val="center"/>
                            </w:pPr>
                            <w:r>
                              <w:rPr>
                                <w:noProof/>
                              </w:rPr>
                              <w:drawing>
                                <wp:inline distT="0" distB="0" distL="0" distR="0" wp14:anchorId="5D871FAF" wp14:editId="23D774B9">
                                  <wp:extent cx="5612130" cy="1810385"/>
                                  <wp:effectExtent l="0" t="0" r="0" b="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CE0" w:rsidRPr="00737190" w:rsidRDefault="00266CE0" w:rsidP="00266CE0">
                            <w:pPr>
                              <w:snapToGrid w:val="0"/>
                              <w:rPr>
                                <w:sz w:val="22"/>
                              </w:rPr>
                            </w:pPr>
                            <w:r w:rsidRPr="00737190">
                              <w:rPr>
                                <w:rFonts w:hint="eastAsia"/>
                                <w:sz w:val="22"/>
                              </w:rPr>
                              <w:t xml:space="preserve">　また、「大阪府生活排水対策推進月間」（２月）を中心に、イベントや街頭啓発を通じて家庭でできる生活排水対策の実践の浸透を図っ</w:t>
                            </w:r>
                            <w:r w:rsidR="00C25831">
                              <w:rPr>
                                <w:rFonts w:hint="eastAsia"/>
                                <w:sz w:val="22"/>
                              </w:rPr>
                              <w:t>ている</w:t>
                            </w:r>
                            <w:r w:rsidRPr="00737190">
                              <w:rPr>
                                <w:rFonts w:hint="eastAsia"/>
                                <w:sz w:val="22"/>
                              </w:rPr>
                              <w:t>。</w:t>
                            </w:r>
                          </w:p>
                          <w:p w:rsidR="00266CE0" w:rsidRPr="00875278" w:rsidRDefault="00266CE0" w:rsidP="00266CE0">
                            <w:pPr>
                              <w:snapToGrid w:val="0"/>
                              <w:rPr>
                                <w:sz w:val="16"/>
                              </w:rPr>
                            </w:pPr>
                          </w:p>
                          <w:p w:rsidR="00266CE0" w:rsidRPr="00A33B79" w:rsidRDefault="00266CE0" w:rsidP="00266CE0">
                            <w:pPr>
                              <w:snapToGrid w:val="0"/>
                              <w:rPr>
                                <w:rFonts w:ascii="ＭＳ ゴシック" w:eastAsia="ＭＳ ゴシック" w:hAnsi="ＭＳ ゴシック"/>
                                <w:b/>
                                <w:sz w:val="24"/>
                              </w:rPr>
                            </w:pPr>
                            <w:r w:rsidRPr="00B37AA2">
                              <w:rPr>
                                <w:rFonts w:ascii="ＭＳ ゴシック" w:eastAsia="ＭＳ ゴシック" w:hAnsi="ＭＳ ゴシック" w:hint="eastAsia"/>
                                <w:b/>
                                <w:sz w:val="24"/>
                                <w:lang w:eastAsia="zh-CN"/>
                              </w:rPr>
                              <w:t>●流域下水道事業</w:t>
                            </w:r>
                            <w:r w:rsidRPr="00A33B79">
                              <w:rPr>
                                <w:rFonts w:ascii="ＭＳ ゴシック" w:eastAsia="ＭＳ ゴシック" w:hAnsi="ＭＳ ゴシック" w:hint="eastAsia"/>
                                <w:b/>
                                <w:sz w:val="24"/>
                                <w:szCs w:val="24"/>
                                <w:lang w:eastAsia="zh-CN"/>
                              </w:rPr>
                              <w:t xml:space="preserve">　　</w:t>
                            </w:r>
                            <w:r w:rsidR="00C72780" w:rsidRPr="00C72780">
                              <w:rPr>
                                <w:rFonts w:ascii="ＭＳ ゴシック" w:eastAsia="ＭＳ ゴシック" w:hAnsi="ＭＳ ゴシック" w:hint="eastAsia"/>
                                <w:sz w:val="24"/>
                                <w:szCs w:val="24"/>
                              </w:rPr>
                              <w:t>＜</w:t>
                            </w:r>
                            <w:r w:rsidRPr="00A33B79">
                              <w:rPr>
                                <w:rFonts w:asciiTheme="minorEastAsia" w:hAnsiTheme="minorEastAsia" w:hint="eastAsia"/>
                                <w:sz w:val="24"/>
                                <w:szCs w:val="24"/>
                                <w:lang w:eastAsia="zh-CN"/>
                              </w:rPr>
                              <w:t>下水道普及率</w:t>
                            </w:r>
                            <w:r w:rsidRPr="00A33B79">
                              <w:rPr>
                                <w:rFonts w:ascii="ＭＳ ゴシック" w:eastAsia="ＭＳ ゴシック" w:hAnsi="ＭＳ ゴシック" w:hint="eastAsia"/>
                                <w:b/>
                                <w:sz w:val="24"/>
                                <w:szCs w:val="24"/>
                                <w:lang w:eastAsia="zh-CN"/>
                              </w:rPr>
                              <w:t xml:space="preserve">　</w:t>
                            </w:r>
                            <w:r w:rsidRPr="00A33B79">
                              <w:rPr>
                                <w:rFonts w:asciiTheme="minorEastAsia" w:hAnsiTheme="minorEastAsia" w:hint="eastAsia"/>
                                <w:sz w:val="24"/>
                                <w:szCs w:val="24"/>
                                <w:lang w:eastAsia="zh-CN"/>
                              </w:rPr>
                              <w:t>2</w:t>
                            </w:r>
                            <w:r>
                              <w:rPr>
                                <w:rFonts w:asciiTheme="minorEastAsia" w:hAnsiTheme="minorEastAsia" w:hint="eastAsia"/>
                                <w:sz w:val="24"/>
                                <w:szCs w:val="24"/>
                              </w:rPr>
                              <w:t>011</w:t>
                            </w:r>
                            <w:r w:rsidRPr="00A33B79">
                              <w:rPr>
                                <w:rFonts w:asciiTheme="minorEastAsia" w:hAnsiTheme="minorEastAsia" w:hint="eastAsia"/>
                                <w:sz w:val="24"/>
                                <w:szCs w:val="24"/>
                                <w:lang w:eastAsia="zh-CN"/>
                              </w:rPr>
                              <w:t>年度　94.6% ⇒ 2</w:t>
                            </w:r>
                            <w:r>
                              <w:rPr>
                                <w:rFonts w:asciiTheme="minorEastAsia" w:hAnsiTheme="minorEastAsia" w:hint="eastAsia"/>
                                <w:sz w:val="24"/>
                                <w:szCs w:val="24"/>
                              </w:rPr>
                              <w:t>014</w:t>
                            </w:r>
                            <w:r w:rsidRPr="00A33B79">
                              <w:rPr>
                                <w:rFonts w:asciiTheme="minorEastAsia" w:hAnsiTheme="minorEastAsia" w:hint="eastAsia"/>
                                <w:sz w:val="24"/>
                                <w:szCs w:val="24"/>
                                <w:lang w:eastAsia="zh-CN"/>
                              </w:rPr>
                              <w:t>年度　95.3%</w:t>
                            </w:r>
                            <w:r w:rsidR="00C72780">
                              <w:rPr>
                                <w:rFonts w:asciiTheme="minorEastAsia" w:hAnsiTheme="minorEastAsia" w:hint="eastAsia"/>
                                <w:sz w:val="24"/>
                                <w:szCs w:val="24"/>
                              </w:rPr>
                              <w:t>＞</w:t>
                            </w:r>
                          </w:p>
                          <w:p w:rsidR="00266CE0" w:rsidRPr="00737190" w:rsidRDefault="00266CE0" w:rsidP="00266CE0">
                            <w:pPr>
                              <w:snapToGrid w:val="0"/>
                              <w:rPr>
                                <w:sz w:val="22"/>
                              </w:rPr>
                            </w:pPr>
                            <w:r w:rsidRPr="00737190">
                              <w:rPr>
                                <w:rFonts w:hint="eastAsia"/>
                                <w:sz w:val="22"/>
                                <w:lang w:eastAsia="zh-CN"/>
                              </w:rPr>
                              <w:t xml:space="preserve">　</w:t>
                            </w:r>
                            <w:r w:rsidR="00C25831">
                              <w:rPr>
                                <w:rFonts w:hint="eastAsia"/>
                                <w:sz w:val="22"/>
                              </w:rPr>
                              <w:t>府では</w:t>
                            </w:r>
                            <w:r w:rsidRPr="00737190">
                              <w:rPr>
                                <w:rFonts w:hint="eastAsia"/>
                                <w:sz w:val="22"/>
                              </w:rPr>
                              <w:t>、流域下水道の幹線管渠、ポンプ場、水みらいセンター（下水処理場）の整備を推進し</w:t>
                            </w:r>
                            <w:r w:rsidR="00C25831">
                              <w:rPr>
                                <w:rFonts w:hint="eastAsia"/>
                                <w:sz w:val="22"/>
                              </w:rPr>
                              <w:t>ている</w:t>
                            </w:r>
                            <w:r w:rsidRPr="00737190">
                              <w:rPr>
                                <w:rFonts w:hint="eastAsia"/>
                                <w:sz w:val="22"/>
                              </w:rPr>
                              <w:t>。</w:t>
                            </w:r>
                          </w:p>
                          <w:p w:rsidR="00266CE0" w:rsidRPr="00737190" w:rsidRDefault="00266CE0" w:rsidP="00266CE0">
                            <w:pPr>
                              <w:snapToGrid w:val="0"/>
                              <w:rPr>
                                <w:sz w:val="22"/>
                              </w:rPr>
                            </w:pPr>
                            <w:r w:rsidRPr="00737190">
                              <w:rPr>
                                <w:rFonts w:hint="eastAsia"/>
                                <w:sz w:val="22"/>
                              </w:rPr>
                              <w:t xml:space="preserve">　また、水みらいセンターにおいては、窒素・</w:t>
                            </w:r>
                            <w:r w:rsidR="00C25831">
                              <w:rPr>
                                <w:rFonts w:hint="eastAsia"/>
                                <w:sz w:val="22"/>
                              </w:rPr>
                              <w:t>りん</w:t>
                            </w:r>
                            <w:r w:rsidRPr="00737190">
                              <w:rPr>
                                <w:rFonts w:hint="eastAsia"/>
                                <w:sz w:val="22"/>
                              </w:rPr>
                              <w:t>等を除去する高度な水処理施設の整備を推進し、水みらいセンターとポンプ場においては合流式下水道の改善を推進し</w:t>
                            </w:r>
                            <w:r w:rsidR="00C25831">
                              <w:rPr>
                                <w:rFonts w:hint="eastAsia"/>
                                <w:sz w:val="22"/>
                              </w:rPr>
                              <w:t>ている</w:t>
                            </w:r>
                            <w:r w:rsidRPr="00737190">
                              <w:rPr>
                                <w:rFonts w:hint="eastAsia"/>
                                <w:sz w:val="22"/>
                              </w:rPr>
                              <w:t>。</w:t>
                            </w:r>
                          </w:p>
                          <w:p w:rsidR="00266CE0" w:rsidRPr="00875278" w:rsidRDefault="00266CE0" w:rsidP="00266CE0">
                            <w:pPr>
                              <w:snapToGrid w:val="0"/>
                              <w:rPr>
                                <w:rFonts w:asciiTheme="minorEastAsia" w:hAnsiTheme="minorEastAsia"/>
                                <w:b/>
                                <w:sz w:val="16"/>
                              </w:rPr>
                            </w:pPr>
                          </w:p>
                          <w:p w:rsidR="00266CE0" w:rsidRPr="00A33B79" w:rsidRDefault="00266CE0" w:rsidP="00266CE0">
                            <w:pPr>
                              <w:snapToGrid w:val="0"/>
                              <w:rPr>
                                <w:rFonts w:ascii="ＭＳ ゴシック" w:eastAsia="ＭＳ ゴシック" w:hAnsi="ＭＳ ゴシック"/>
                                <w:b/>
                                <w:sz w:val="24"/>
                              </w:rPr>
                            </w:pPr>
                            <w:r w:rsidRPr="00B37AA2">
                              <w:rPr>
                                <w:rFonts w:ascii="ＭＳ ゴシック" w:eastAsia="ＭＳ ゴシック" w:hAnsi="ＭＳ ゴシック" w:hint="eastAsia"/>
                                <w:b/>
                                <w:sz w:val="24"/>
                              </w:rPr>
                              <w:t>●浄化槽整備事業</w:t>
                            </w:r>
                            <w:r>
                              <w:rPr>
                                <w:rFonts w:ascii="ＭＳ ゴシック" w:eastAsia="ＭＳ ゴシック" w:hAnsi="ＭＳ ゴシック" w:hint="eastAsia"/>
                                <w:b/>
                                <w:sz w:val="24"/>
                                <w:szCs w:val="24"/>
                              </w:rPr>
                              <w:t xml:space="preserve">　</w:t>
                            </w:r>
                            <w:r w:rsidRPr="00A33B79">
                              <w:rPr>
                                <w:rFonts w:ascii="ＭＳ ゴシック" w:eastAsia="ＭＳ ゴシック" w:hAnsi="ＭＳ ゴシック" w:hint="eastAsia"/>
                                <w:b/>
                                <w:sz w:val="24"/>
                                <w:szCs w:val="24"/>
                              </w:rPr>
                              <w:t xml:space="preserve">　</w:t>
                            </w:r>
                            <w:r w:rsidR="00C72780" w:rsidRPr="00C72780">
                              <w:rPr>
                                <w:rFonts w:ascii="ＭＳ ゴシック" w:eastAsia="ＭＳ ゴシック" w:hAnsi="ＭＳ ゴシック" w:hint="eastAsia"/>
                                <w:sz w:val="24"/>
                                <w:szCs w:val="24"/>
                              </w:rPr>
                              <w:t>＜</w:t>
                            </w:r>
                            <w:r w:rsidRPr="00A33B79">
                              <w:rPr>
                                <w:rFonts w:asciiTheme="minorEastAsia" w:hAnsiTheme="minorEastAsia" w:hint="eastAsia"/>
                                <w:sz w:val="24"/>
                                <w:szCs w:val="24"/>
                              </w:rPr>
                              <w:t>2</w:t>
                            </w:r>
                            <w:r>
                              <w:rPr>
                                <w:rFonts w:asciiTheme="minorEastAsia" w:hAnsiTheme="minorEastAsia" w:hint="eastAsia"/>
                                <w:sz w:val="24"/>
                                <w:szCs w:val="24"/>
                              </w:rPr>
                              <w:t>011</w:t>
                            </w:r>
                            <w:r w:rsidRPr="00A33B79">
                              <w:rPr>
                                <w:rFonts w:asciiTheme="minorEastAsia" w:hAnsiTheme="minorEastAsia" w:hint="eastAsia"/>
                                <w:sz w:val="24"/>
                                <w:szCs w:val="24"/>
                              </w:rPr>
                              <w:t>～2</w:t>
                            </w:r>
                            <w:r>
                              <w:rPr>
                                <w:rFonts w:asciiTheme="minorEastAsia" w:hAnsiTheme="minorEastAsia" w:hint="eastAsia"/>
                                <w:sz w:val="24"/>
                                <w:szCs w:val="24"/>
                              </w:rPr>
                              <w:t>014</w:t>
                            </w:r>
                            <w:r w:rsidRPr="00A33B79">
                              <w:rPr>
                                <w:rFonts w:asciiTheme="minorEastAsia" w:hAnsiTheme="minorEastAsia" w:hint="eastAsia"/>
                                <w:sz w:val="24"/>
                                <w:szCs w:val="24"/>
                              </w:rPr>
                              <w:t>年度　延べ622基設置</w:t>
                            </w:r>
                            <w:r w:rsidR="00C72780">
                              <w:rPr>
                                <w:rFonts w:asciiTheme="minorEastAsia" w:hAnsiTheme="minorEastAsia" w:hint="eastAsia"/>
                                <w:sz w:val="24"/>
                                <w:szCs w:val="24"/>
                              </w:rPr>
                              <w:t>＞</w:t>
                            </w:r>
                          </w:p>
                          <w:p w:rsidR="00266CE0" w:rsidRPr="001A56F6" w:rsidRDefault="00266CE0" w:rsidP="00266CE0">
                            <w:pPr>
                              <w:snapToGrid w:val="0"/>
                            </w:pPr>
                            <w:r w:rsidRPr="00A33B79">
                              <w:rPr>
                                <w:rFonts w:hint="eastAsia"/>
                              </w:rPr>
                              <w:t xml:space="preserve">　</w:t>
                            </w:r>
                            <w:r w:rsidRPr="00737190">
                              <w:rPr>
                                <w:rFonts w:hint="eastAsia"/>
                                <w:sz w:val="22"/>
                              </w:rPr>
                              <w:t>個人が浄化槽を設置する際の費用の一部助成及び市町村が主体となって各戸に浄化槽を整備し、住民から使用料を徴収して管理運営する事業を実施する市町村への府費補助金の交付を引き続き行うなど、浄化槽整備の促進を図っ</w:t>
                            </w:r>
                            <w:r w:rsidR="00C25831">
                              <w:rPr>
                                <w:rFonts w:hint="eastAsia"/>
                                <w:sz w:val="22"/>
                              </w:rPr>
                              <w:t>ている</w:t>
                            </w:r>
                            <w:r w:rsidRPr="00737190">
                              <w:rPr>
                                <w:rFonts w:hint="eastAsia"/>
                                <w:sz w:val="22"/>
                              </w:rPr>
                              <w:t>。</w:t>
                            </w:r>
                          </w:p>
                        </w:txbxContent>
                      </v:textbox>
                    </v:shape>
                  </w:pict>
                </mc:Fallback>
              </mc:AlternateContent>
            </w:r>
          </w:p>
        </w:tc>
      </w:tr>
      <w:tr w:rsidR="00933DBF" w:rsidTr="000E4EE5">
        <w:tblPrEx>
          <w:tblCellMar>
            <w:left w:w="108" w:type="dxa"/>
            <w:right w:w="108" w:type="dxa"/>
          </w:tblCellMar>
        </w:tblPrEx>
        <w:trPr>
          <w:gridAfter w:val="1"/>
          <w:wAfter w:w="9" w:type="dxa"/>
        </w:trPr>
        <w:tc>
          <w:tcPr>
            <w:tcW w:w="10494" w:type="dxa"/>
            <w:gridSpan w:val="3"/>
            <w:tcBorders>
              <w:top w:val="single" w:sz="4" w:space="0" w:color="auto"/>
              <w:left w:val="single" w:sz="12" w:space="0" w:color="FFFFFF" w:themeColor="background1"/>
              <w:bottom w:val="single" w:sz="12" w:space="0" w:color="FFFFFF" w:themeColor="background1"/>
              <w:right w:val="single" w:sz="4" w:space="0" w:color="auto"/>
            </w:tcBorders>
          </w:tcPr>
          <w:p w:rsidR="00933DBF" w:rsidRDefault="00266CE0">
            <w:r>
              <w:rPr>
                <w:rFonts w:hint="eastAsia"/>
                <w:noProof/>
              </w:rPr>
              <mc:AlternateContent>
                <mc:Choice Requires="wps">
                  <w:drawing>
                    <wp:anchor distT="0" distB="0" distL="114300" distR="114300" simplePos="0" relativeHeight="251711488" behindDoc="0" locked="0" layoutInCell="1" allowOverlap="1" wp14:anchorId="08D02334" wp14:editId="33E32F39">
                      <wp:simplePos x="0" y="0"/>
                      <wp:positionH relativeFrom="column">
                        <wp:posOffset>-83820</wp:posOffset>
                      </wp:positionH>
                      <wp:positionV relativeFrom="paragraph">
                        <wp:posOffset>54953</wp:posOffset>
                      </wp:positionV>
                      <wp:extent cx="6577021" cy="1116000"/>
                      <wp:effectExtent l="0" t="0" r="14605" b="27305"/>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021" cy="1116000"/>
                              </a:xfrm>
                              <a:prstGeom prst="foldedCorner">
                                <a:avLst>
                                  <a:gd name="adj" fmla="val 0"/>
                                </a:avLst>
                              </a:prstGeom>
                              <a:noFill/>
                              <a:ln w="19050">
                                <a:solidFill>
                                  <a:schemeClr val="tx1"/>
                                </a:solidFill>
                                <a:round/>
                                <a:headEnd/>
                                <a:tailEnd/>
                              </a:ln>
                            </wps:spPr>
                            <wps:txbx>
                              <w:txbxContent>
                                <w:p w:rsidR="00266CE0" w:rsidRPr="00B37AA2" w:rsidRDefault="00266CE0" w:rsidP="00B5648C">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今後の取組み</w:t>
                                  </w:r>
                                </w:p>
                                <w:p w:rsidR="00266CE0" w:rsidRPr="00622573" w:rsidRDefault="00266CE0" w:rsidP="00B5648C">
                                  <w:pPr>
                                    <w:snapToGrid w:val="0"/>
                                    <w:ind w:firstLineChars="100" w:firstLine="240"/>
                                    <w:rPr>
                                      <w:rFonts w:ascii="ＭＳ ゴシック" w:eastAsia="ＭＳ ゴシック" w:hAnsi="ＭＳ ゴシック"/>
                                      <w:sz w:val="22"/>
                                    </w:rPr>
                                  </w:pPr>
                                  <w:r w:rsidRPr="0030017A">
                                    <w:rPr>
                                      <w:rFonts w:asciiTheme="minorEastAsia" w:hAnsiTheme="minorEastAsia" w:hint="eastAsia"/>
                                      <w:sz w:val="24"/>
                                      <w:szCs w:val="24"/>
                                    </w:rPr>
                                    <w:t>COD、窒素、りんの総量削減計画に基づく総量規制など事業場排水の規制・指導を、市町村と連携</w:t>
                                  </w:r>
                                  <w:r>
                                    <w:rPr>
                                      <w:rFonts w:asciiTheme="minorEastAsia" w:hAnsiTheme="minorEastAsia" w:hint="eastAsia"/>
                                      <w:sz w:val="24"/>
                                      <w:szCs w:val="24"/>
                                    </w:rPr>
                                    <w:t>し着</w:t>
                                  </w:r>
                                  <w:r w:rsidRPr="0030017A">
                                    <w:rPr>
                                      <w:rFonts w:asciiTheme="minorEastAsia" w:hAnsiTheme="minorEastAsia" w:hint="eastAsia"/>
                                      <w:sz w:val="24"/>
                                      <w:szCs w:val="24"/>
                                    </w:rPr>
                                    <w:t>実に進め</w:t>
                                  </w:r>
                                  <w:r>
                                    <w:rPr>
                                      <w:rFonts w:asciiTheme="minorEastAsia" w:hAnsiTheme="minorEastAsia" w:hint="eastAsia"/>
                                      <w:sz w:val="24"/>
                                      <w:szCs w:val="24"/>
                                    </w:rPr>
                                    <w:t>る</w:t>
                                  </w:r>
                                  <w:r w:rsidRPr="0030017A">
                                    <w:rPr>
                                      <w:rFonts w:asciiTheme="minorEastAsia" w:hAnsiTheme="minorEastAsia" w:hint="eastAsia"/>
                                      <w:sz w:val="24"/>
                                      <w:szCs w:val="24"/>
                                    </w:rPr>
                                    <w:t>。</w:t>
                                  </w:r>
                                  <w:r>
                                    <w:rPr>
                                      <w:rFonts w:asciiTheme="minorEastAsia" w:hAnsiTheme="minorEastAsia" w:hint="eastAsia"/>
                                      <w:sz w:val="24"/>
                                      <w:szCs w:val="24"/>
                                    </w:rPr>
                                    <w:t>また、</w:t>
                                  </w:r>
                                  <w:r w:rsidRPr="0030017A">
                                    <w:rPr>
                                      <w:rFonts w:asciiTheme="minorEastAsia" w:hAnsiTheme="minorEastAsia" w:hint="eastAsia"/>
                                      <w:sz w:val="24"/>
                                      <w:szCs w:val="24"/>
                                    </w:rPr>
                                    <w:t>下水道の整備や接続を促進</w:t>
                                  </w:r>
                                  <w:r>
                                    <w:rPr>
                                      <w:rFonts w:asciiTheme="minorEastAsia" w:hAnsiTheme="minorEastAsia" w:hint="eastAsia"/>
                                      <w:sz w:val="24"/>
                                      <w:szCs w:val="24"/>
                                    </w:rPr>
                                    <w:t>し</w:t>
                                  </w:r>
                                  <w:r w:rsidRPr="0030017A">
                                    <w:rPr>
                                      <w:rFonts w:asciiTheme="minorEastAsia" w:hAnsiTheme="minorEastAsia" w:hint="eastAsia"/>
                                      <w:sz w:val="24"/>
                                      <w:szCs w:val="24"/>
                                    </w:rPr>
                                    <w:t>、高度処理化、合流式下水道の改善を推進す</w:t>
                                  </w:r>
                                  <w:r>
                                    <w:rPr>
                                      <w:rFonts w:asciiTheme="minorEastAsia" w:hAnsiTheme="minorEastAsia" w:hint="eastAsia"/>
                                      <w:sz w:val="24"/>
                                      <w:szCs w:val="24"/>
                                    </w:rPr>
                                    <w:t>るとともに、</w:t>
                                  </w:r>
                                  <w:r w:rsidRPr="0030017A">
                                    <w:rPr>
                                      <w:rFonts w:asciiTheme="minorEastAsia" w:hAnsiTheme="minorEastAsia" w:hint="eastAsia"/>
                                      <w:sz w:val="24"/>
                                      <w:szCs w:val="24"/>
                                    </w:rPr>
                                    <w:t>下水道が整備されない地域では、合併処理浄化槽等の普及促進や、汚濁</w:t>
                                  </w:r>
                                  <w:r w:rsidR="00C25831">
                                    <w:rPr>
                                      <w:rFonts w:asciiTheme="minorEastAsia" w:hAnsiTheme="minorEastAsia" w:hint="eastAsia"/>
                                      <w:sz w:val="24"/>
                                      <w:szCs w:val="24"/>
                                    </w:rPr>
                                    <w:t>負荷</w:t>
                                  </w:r>
                                  <w:r w:rsidRPr="0030017A">
                                    <w:rPr>
                                      <w:rFonts w:asciiTheme="minorEastAsia" w:hAnsiTheme="minorEastAsia" w:hint="eastAsia"/>
                                      <w:sz w:val="24"/>
                                      <w:szCs w:val="24"/>
                                    </w:rPr>
                                    <w:t>削減の府民啓発などの生活排水対策を推進す</w:t>
                                  </w:r>
                                  <w:r>
                                    <w:rPr>
                                      <w:rFonts w:asciiTheme="minorEastAsia" w:hAnsiTheme="minorEastAsia" w:hint="eastAsia"/>
                                      <w:sz w:val="24"/>
                                      <w:szCs w:val="24"/>
                                    </w:rPr>
                                    <w:t>る</w:t>
                                  </w:r>
                                  <w:r w:rsidRPr="0030017A">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4" o:spid="_x0000_s1031" type="#_x0000_t65" style="position:absolute;left:0;text-align:left;margin-left:-6.6pt;margin-top:4.35pt;width:517.9pt;height:8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" adj="21600" filled="f" strokecolor="black [3213]" strokeweight="1.5pt">
                      <v:textbox inset="5.85pt,.7pt,5.85pt,.7pt">
                        <w:txbxContent>
                          <w:p w:rsidR="00266CE0" w:rsidRPr="00B37AA2" w:rsidRDefault="00266CE0" w:rsidP="00B5648C">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今後の取組み</w:t>
                            </w:r>
                          </w:p>
                          <w:p w:rsidR="00266CE0" w:rsidRPr="00622573" w:rsidRDefault="00266CE0" w:rsidP="00B5648C">
                            <w:pPr>
                              <w:snapToGrid w:val="0"/>
                              <w:ind w:firstLineChars="100" w:firstLine="240"/>
                              <w:rPr>
                                <w:rFonts w:ascii="ＭＳ ゴシック" w:eastAsia="ＭＳ ゴシック" w:hAnsi="ＭＳ ゴシック"/>
                                <w:sz w:val="22"/>
                              </w:rPr>
                            </w:pPr>
                            <w:r w:rsidRPr="0030017A">
                              <w:rPr>
                                <w:rFonts w:asciiTheme="minorEastAsia" w:hAnsiTheme="minorEastAsia" w:hint="eastAsia"/>
                                <w:sz w:val="24"/>
                                <w:szCs w:val="24"/>
                              </w:rPr>
                              <w:t>COD、窒素、りんの総量削減計画に基づく総量規制など事業場排水の規制・指導を、市町村と連携</w:t>
                            </w:r>
                            <w:r>
                              <w:rPr>
                                <w:rFonts w:asciiTheme="minorEastAsia" w:hAnsiTheme="minorEastAsia" w:hint="eastAsia"/>
                                <w:sz w:val="24"/>
                                <w:szCs w:val="24"/>
                              </w:rPr>
                              <w:t>し着</w:t>
                            </w:r>
                            <w:r w:rsidRPr="0030017A">
                              <w:rPr>
                                <w:rFonts w:asciiTheme="minorEastAsia" w:hAnsiTheme="minorEastAsia" w:hint="eastAsia"/>
                                <w:sz w:val="24"/>
                                <w:szCs w:val="24"/>
                              </w:rPr>
                              <w:t>実に進め</w:t>
                            </w:r>
                            <w:r>
                              <w:rPr>
                                <w:rFonts w:asciiTheme="minorEastAsia" w:hAnsiTheme="minorEastAsia" w:hint="eastAsia"/>
                                <w:sz w:val="24"/>
                                <w:szCs w:val="24"/>
                              </w:rPr>
                              <w:t>る</w:t>
                            </w:r>
                            <w:r w:rsidRPr="0030017A">
                              <w:rPr>
                                <w:rFonts w:asciiTheme="minorEastAsia" w:hAnsiTheme="minorEastAsia" w:hint="eastAsia"/>
                                <w:sz w:val="24"/>
                                <w:szCs w:val="24"/>
                              </w:rPr>
                              <w:t>。</w:t>
                            </w:r>
                            <w:r>
                              <w:rPr>
                                <w:rFonts w:asciiTheme="minorEastAsia" w:hAnsiTheme="minorEastAsia" w:hint="eastAsia"/>
                                <w:sz w:val="24"/>
                                <w:szCs w:val="24"/>
                              </w:rPr>
                              <w:t>また、</w:t>
                            </w:r>
                            <w:r w:rsidRPr="0030017A">
                              <w:rPr>
                                <w:rFonts w:asciiTheme="minorEastAsia" w:hAnsiTheme="minorEastAsia" w:hint="eastAsia"/>
                                <w:sz w:val="24"/>
                                <w:szCs w:val="24"/>
                              </w:rPr>
                              <w:t>下水道の整備や接続を促進</w:t>
                            </w:r>
                            <w:r>
                              <w:rPr>
                                <w:rFonts w:asciiTheme="minorEastAsia" w:hAnsiTheme="minorEastAsia" w:hint="eastAsia"/>
                                <w:sz w:val="24"/>
                                <w:szCs w:val="24"/>
                              </w:rPr>
                              <w:t>し</w:t>
                            </w:r>
                            <w:r w:rsidRPr="0030017A">
                              <w:rPr>
                                <w:rFonts w:asciiTheme="minorEastAsia" w:hAnsiTheme="minorEastAsia" w:hint="eastAsia"/>
                                <w:sz w:val="24"/>
                                <w:szCs w:val="24"/>
                              </w:rPr>
                              <w:t>、高度処理化、合流式下水道の改善を推進す</w:t>
                            </w:r>
                            <w:r>
                              <w:rPr>
                                <w:rFonts w:asciiTheme="minorEastAsia" w:hAnsiTheme="minorEastAsia" w:hint="eastAsia"/>
                                <w:sz w:val="24"/>
                                <w:szCs w:val="24"/>
                              </w:rPr>
                              <w:t>るとともに、</w:t>
                            </w:r>
                            <w:r w:rsidRPr="0030017A">
                              <w:rPr>
                                <w:rFonts w:asciiTheme="minorEastAsia" w:hAnsiTheme="minorEastAsia" w:hint="eastAsia"/>
                                <w:sz w:val="24"/>
                                <w:szCs w:val="24"/>
                              </w:rPr>
                              <w:t>下水道が整備されない地域では、合併処理浄化槽等の普及促進や、汚濁</w:t>
                            </w:r>
                            <w:r w:rsidR="00C25831">
                              <w:rPr>
                                <w:rFonts w:asciiTheme="minorEastAsia" w:hAnsiTheme="minorEastAsia" w:hint="eastAsia"/>
                                <w:sz w:val="24"/>
                                <w:szCs w:val="24"/>
                              </w:rPr>
                              <w:t>負荷</w:t>
                            </w:r>
                            <w:r w:rsidRPr="0030017A">
                              <w:rPr>
                                <w:rFonts w:asciiTheme="minorEastAsia" w:hAnsiTheme="minorEastAsia" w:hint="eastAsia"/>
                                <w:sz w:val="24"/>
                                <w:szCs w:val="24"/>
                              </w:rPr>
                              <w:t>削減の府民啓発などの生活排水対策を推進す</w:t>
                            </w:r>
                            <w:r>
                              <w:rPr>
                                <w:rFonts w:asciiTheme="minorEastAsia" w:hAnsiTheme="minorEastAsia" w:hint="eastAsia"/>
                                <w:sz w:val="24"/>
                                <w:szCs w:val="24"/>
                              </w:rPr>
                              <w:t>る</w:t>
                            </w:r>
                            <w:r w:rsidRPr="0030017A">
                              <w:rPr>
                                <w:rFonts w:asciiTheme="minorEastAsia" w:hAnsiTheme="minorEastAsia" w:hint="eastAsia"/>
                                <w:sz w:val="24"/>
                                <w:szCs w:val="24"/>
                              </w:rPr>
                              <w:t>。</w:t>
                            </w:r>
                          </w:p>
                        </w:txbxContent>
                      </v:textbox>
                    </v:shape>
                  </w:pict>
                </mc:Fallback>
              </mc:AlternateContent>
            </w:r>
          </w:p>
        </w:tc>
        <w:tc>
          <w:tcPr>
            <w:tcW w:w="11112" w:type="dxa"/>
            <w:gridSpan w:val="3"/>
            <w:tcBorders>
              <w:top w:val="single" w:sz="12" w:space="0" w:color="FFFFFF" w:themeColor="background1"/>
              <w:left w:val="single" w:sz="4" w:space="0" w:color="auto"/>
              <w:bottom w:val="single" w:sz="4" w:space="0" w:color="auto"/>
              <w:right w:val="single" w:sz="4" w:space="0" w:color="auto"/>
            </w:tcBorders>
          </w:tcPr>
          <w:p w:rsidR="00933DBF" w:rsidRDefault="00933DBF"/>
          <w:p w:rsidR="00266CE0" w:rsidRDefault="00266CE0"/>
          <w:p w:rsidR="00266CE0" w:rsidRDefault="00266CE0"/>
          <w:p w:rsidR="00933DBF" w:rsidRDefault="00933DBF"/>
          <w:p w:rsidR="000E4EE5" w:rsidRDefault="000E4EE5"/>
        </w:tc>
      </w:tr>
    </w:tbl>
    <w:p w:rsidR="000F4DE5" w:rsidRDefault="000F4DE5" w:rsidP="000E4EE5"/>
    <w:sectPr w:rsidR="000F4DE5" w:rsidSect="000E4EE5">
      <w:pgSz w:w="23814" w:h="16839" w:orient="landscape" w:code="8"/>
      <w:pgMar w:top="1247"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C8" w:rsidRDefault="007619C8" w:rsidP="00293DA6">
      <w:r>
        <w:separator/>
      </w:r>
    </w:p>
  </w:endnote>
  <w:endnote w:type="continuationSeparator" w:id="0">
    <w:p w:rsidR="007619C8" w:rsidRDefault="007619C8" w:rsidP="002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C8" w:rsidRDefault="007619C8" w:rsidP="00293DA6">
      <w:r>
        <w:separator/>
      </w:r>
    </w:p>
  </w:footnote>
  <w:footnote w:type="continuationSeparator" w:id="0">
    <w:p w:rsidR="007619C8" w:rsidRDefault="007619C8" w:rsidP="00293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19F6"/>
    <w:multiLevelType w:val="hybridMultilevel"/>
    <w:tmpl w:val="5A840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93"/>
    <w:rsid w:val="00074FD6"/>
    <w:rsid w:val="000C6CBF"/>
    <w:rsid w:val="000E4EE5"/>
    <w:rsid w:val="000E501D"/>
    <w:rsid w:val="000F4DE5"/>
    <w:rsid w:val="00113379"/>
    <w:rsid w:val="00123CFB"/>
    <w:rsid w:val="00144CDD"/>
    <w:rsid w:val="00150680"/>
    <w:rsid w:val="001A56F6"/>
    <w:rsid w:val="001C3061"/>
    <w:rsid w:val="001D1298"/>
    <w:rsid w:val="00242557"/>
    <w:rsid w:val="00266CE0"/>
    <w:rsid w:val="002746D3"/>
    <w:rsid w:val="00293DA6"/>
    <w:rsid w:val="002A26EF"/>
    <w:rsid w:val="002E4C88"/>
    <w:rsid w:val="002F5B3D"/>
    <w:rsid w:val="0030017A"/>
    <w:rsid w:val="003625E7"/>
    <w:rsid w:val="003723CD"/>
    <w:rsid w:val="003A450B"/>
    <w:rsid w:val="00425C83"/>
    <w:rsid w:val="004717D9"/>
    <w:rsid w:val="00475D8E"/>
    <w:rsid w:val="00481C90"/>
    <w:rsid w:val="004B444B"/>
    <w:rsid w:val="00566A75"/>
    <w:rsid w:val="005A0DBD"/>
    <w:rsid w:val="005A58E7"/>
    <w:rsid w:val="005B2666"/>
    <w:rsid w:val="00626BAB"/>
    <w:rsid w:val="00644A59"/>
    <w:rsid w:val="0068302D"/>
    <w:rsid w:val="00691D18"/>
    <w:rsid w:val="007015A6"/>
    <w:rsid w:val="007059CF"/>
    <w:rsid w:val="00737190"/>
    <w:rsid w:val="00755699"/>
    <w:rsid w:val="007619C8"/>
    <w:rsid w:val="00784415"/>
    <w:rsid w:val="007962EC"/>
    <w:rsid w:val="007D1C6F"/>
    <w:rsid w:val="007E601D"/>
    <w:rsid w:val="00830080"/>
    <w:rsid w:val="00875278"/>
    <w:rsid w:val="008772A0"/>
    <w:rsid w:val="008905CA"/>
    <w:rsid w:val="008A3FBB"/>
    <w:rsid w:val="008B4277"/>
    <w:rsid w:val="008C0543"/>
    <w:rsid w:val="00926751"/>
    <w:rsid w:val="00933DBF"/>
    <w:rsid w:val="00981E30"/>
    <w:rsid w:val="009B41B5"/>
    <w:rsid w:val="009C17FF"/>
    <w:rsid w:val="009C3938"/>
    <w:rsid w:val="00A15225"/>
    <w:rsid w:val="00A15A93"/>
    <w:rsid w:val="00A302C3"/>
    <w:rsid w:val="00A33B79"/>
    <w:rsid w:val="00A571C7"/>
    <w:rsid w:val="00A64AF2"/>
    <w:rsid w:val="00A71936"/>
    <w:rsid w:val="00A90236"/>
    <w:rsid w:val="00A94746"/>
    <w:rsid w:val="00AB6307"/>
    <w:rsid w:val="00AC5EA6"/>
    <w:rsid w:val="00AD44D0"/>
    <w:rsid w:val="00B32D77"/>
    <w:rsid w:val="00B36D91"/>
    <w:rsid w:val="00B37AA2"/>
    <w:rsid w:val="00B4322F"/>
    <w:rsid w:val="00B53CDF"/>
    <w:rsid w:val="00B5648C"/>
    <w:rsid w:val="00B72EAA"/>
    <w:rsid w:val="00B90EB9"/>
    <w:rsid w:val="00C00224"/>
    <w:rsid w:val="00C25831"/>
    <w:rsid w:val="00C72780"/>
    <w:rsid w:val="00C944C4"/>
    <w:rsid w:val="00CB1BC2"/>
    <w:rsid w:val="00CB4396"/>
    <w:rsid w:val="00D02B2C"/>
    <w:rsid w:val="00D560AB"/>
    <w:rsid w:val="00DF32CC"/>
    <w:rsid w:val="00DF62B9"/>
    <w:rsid w:val="00E34265"/>
    <w:rsid w:val="00E561FC"/>
    <w:rsid w:val="00E714F7"/>
    <w:rsid w:val="00E84A96"/>
    <w:rsid w:val="00E84D76"/>
    <w:rsid w:val="00EC443C"/>
    <w:rsid w:val="00EF41FA"/>
    <w:rsid w:val="00F6162F"/>
    <w:rsid w:val="00F9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A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A93"/>
    <w:rPr>
      <w:rFonts w:asciiTheme="majorHAnsi" w:eastAsiaTheme="majorEastAsia" w:hAnsiTheme="majorHAnsi" w:cstheme="majorBidi"/>
      <w:sz w:val="18"/>
      <w:szCs w:val="18"/>
    </w:rPr>
  </w:style>
  <w:style w:type="table" w:styleId="a5">
    <w:name w:val="Table Grid"/>
    <w:basedOn w:val="a1"/>
    <w:uiPriority w:val="59"/>
    <w:rsid w:val="00A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A93"/>
    <w:pPr>
      <w:ind w:leftChars="400" w:left="840"/>
    </w:pPr>
  </w:style>
  <w:style w:type="paragraph" w:styleId="a7">
    <w:name w:val="header"/>
    <w:basedOn w:val="a"/>
    <w:link w:val="a8"/>
    <w:uiPriority w:val="99"/>
    <w:unhideWhenUsed/>
    <w:rsid w:val="00293DA6"/>
    <w:pPr>
      <w:tabs>
        <w:tab w:val="center" w:pos="4252"/>
        <w:tab w:val="right" w:pos="8504"/>
      </w:tabs>
      <w:snapToGrid w:val="0"/>
    </w:pPr>
  </w:style>
  <w:style w:type="character" w:customStyle="1" w:styleId="a8">
    <w:name w:val="ヘッダー (文字)"/>
    <w:basedOn w:val="a0"/>
    <w:link w:val="a7"/>
    <w:uiPriority w:val="99"/>
    <w:rsid w:val="00293DA6"/>
  </w:style>
  <w:style w:type="paragraph" w:styleId="a9">
    <w:name w:val="footer"/>
    <w:basedOn w:val="a"/>
    <w:link w:val="aa"/>
    <w:uiPriority w:val="99"/>
    <w:unhideWhenUsed/>
    <w:rsid w:val="00293DA6"/>
    <w:pPr>
      <w:tabs>
        <w:tab w:val="center" w:pos="4252"/>
        <w:tab w:val="right" w:pos="8504"/>
      </w:tabs>
      <w:snapToGrid w:val="0"/>
    </w:pPr>
  </w:style>
  <w:style w:type="character" w:customStyle="1" w:styleId="aa">
    <w:name w:val="フッター (文字)"/>
    <w:basedOn w:val="a0"/>
    <w:link w:val="a9"/>
    <w:uiPriority w:val="99"/>
    <w:rsid w:val="0029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A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A93"/>
    <w:rPr>
      <w:rFonts w:asciiTheme="majorHAnsi" w:eastAsiaTheme="majorEastAsia" w:hAnsiTheme="majorHAnsi" w:cstheme="majorBidi"/>
      <w:sz w:val="18"/>
      <w:szCs w:val="18"/>
    </w:rPr>
  </w:style>
  <w:style w:type="table" w:styleId="a5">
    <w:name w:val="Table Grid"/>
    <w:basedOn w:val="a1"/>
    <w:uiPriority w:val="59"/>
    <w:rsid w:val="00A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A93"/>
    <w:pPr>
      <w:ind w:leftChars="400" w:left="840"/>
    </w:pPr>
  </w:style>
  <w:style w:type="paragraph" w:styleId="a7">
    <w:name w:val="header"/>
    <w:basedOn w:val="a"/>
    <w:link w:val="a8"/>
    <w:uiPriority w:val="99"/>
    <w:unhideWhenUsed/>
    <w:rsid w:val="00293DA6"/>
    <w:pPr>
      <w:tabs>
        <w:tab w:val="center" w:pos="4252"/>
        <w:tab w:val="right" w:pos="8504"/>
      </w:tabs>
      <w:snapToGrid w:val="0"/>
    </w:pPr>
  </w:style>
  <w:style w:type="character" w:customStyle="1" w:styleId="a8">
    <w:name w:val="ヘッダー (文字)"/>
    <w:basedOn w:val="a0"/>
    <w:link w:val="a7"/>
    <w:uiPriority w:val="99"/>
    <w:rsid w:val="00293DA6"/>
  </w:style>
  <w:style w:type="paragraph" w:styleId="a9">
    <w:name w:val="footer"/>
    <w:basedOn w:val="a"/>
    <w:link w:val="aa"/>
    <w:uiPriority w:val="99"/>
    <w:unhideWhenUsed/>
    <w:rsid w:val="00293DA6"/>
    <w:pPr>
      <w:tabs>
        <w:tab w:val="center" w:pos="4252"/>
        <w:tab w:val="right" w:pos="8504"/>
      </w:tabs>
      <w:snapToGrid w:val="0"/>
    </w:pPr>
  </w:style>
  <w:style w:type="character" w:customStyle="1" w:styleId="aa">
    <w:name w:val="フッター (文字)"/>
    <w:basedOn w:val="a0"/>
    <w:link w:val="a9"/>
    <w:uiPriority w:val="99"/>
    <w:rsid w:val="0029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LIB\&#20107;&#26989;&#25152;&#25351;&#23566;&#35506;\05%20%20&#27700;&#36074;\05-23&#12288;&#29872;&#22659;&#23529;&#35696;&#20250;\H280905_&#29872;&#22659;&#32207;&#21512;&#35336;&#30011;&#37096;&#20250;\&#12467;&#12500;&#12540;BOD&#36948;&#25104;&#29575;&#12464;&#12521;&#12501;&#65288;&#35611;&#12376;&#12424;&#12358;&#12395;&#12418;&#20351;&#29992;&#65289;&#12289;DO&#36948;&#25104;&#29575;160726&#65288;&#28168;&#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84240539139444E-2"/>
          <c:y val="7.6305220883534142E-2"/>
          <c:w val="0.82983929497148778"/>
          <c:h val="0.74186762799228412"/>
        </c:manualLayout>
      </c:layout>
      <c:barChart>
        <c:barDir val="col"/>
        <c:grouping val="clustered"/>
        <c:varyColors val="0"/>
        <c:ser>
          <c:idx val="0"/>
          <c:order val="1"/>
          <c:tx>
            <c:strRef>
              <c:f>河川BOD!$A$5</c:f>
              <c:strCache>
                <c:ptCount val="1"/>
                <c:pt idx="0">
                  <c:v>BOD3mg/L以下の水域の割合</c:v>
                </c:pt>
              </c:strCache>
            </c:strRef>
          </c:tx>
          <c:spPr>
            <a:solidFill>
              <a:schemeClr val="accent6">
                <a:lumMod val="60000"/>
                <a:lumOff val="40000"/>
              </a:schemeClr>
            </a:solidFill>
            <a:ln>
              <a:solidFill>
                <a:srgbClr val="000000"/>
              </a:solidFill>
            </a:ln>
          </c:spPr>
          <c:invertIfNegative val="0"/>
          <c:dLbls>
            <c:txPr>
              <a:bodyPr/>
              <a:lstStyle/>
              <a:p>
                <a:pPr>
                  <a:defRPr sz="900"/>
                </a:pPr>
                <a:endParaRPr lang="ja-JP"/>
              </a:p>
            </c:txPr>
            <c:dLblPos val="inEnd"/>
            <c:showLegendKey val="0"/>
            <c:showVal val="1"/>
            <c:showCatName val="0"/>
            <c:showSerName val="0"/>
            <c:showPercent val="0"/>
            <c:showBubbleSize val="0"/>
            <c:showLeaderLines val="0"/>
          </c:dLbls>
          <c:val>
            <c:numRef>
              <c:f>河川BOD!$T$5:$AD$5</c:f>
              <c:numCache>
                <c:formatCode>0.0_);[Red]\(0.0\)</c:formatCode>
                <c:ptCount val="11"/>
                <c:pt idx="0">
                  <c:v>51.3</c:v>
                </c:pt>
                <c:pt idx="1">
                  <c:v>55</c:v>
                </c:pt>
                <c:pt idx="2">
                  <c:v>55</c:v>
                </c:pt>
                <c:pt idx="3">
                  <c:v>63.8</c:v>
                </c:pt>
                <c:pt idx="4">
                  <c:v>63.8</c:v>
                </c:pt>
                <c:pt idx="5">
                  <c:v>70.400000000000006</c:v>
                </c:pt>
                <c:pt idx="6">
                  <c:v>67.900000000000006</c:v>
                </c:pt>
                <c:pt idx="7">
                  <c:v>74.099999999999994</c:v>
                </c:pt>
                <c:pt idx="8">
                  <c:v>71.599999999999994</c:v>
                </c:pt>
                <c:pt idx="9">
                  <c:v>76.5</c:v>
                </c:pt>
                <c:pt idx="10">
                  <c:v>81.5</c:v>
                </c:pt>
              </c:numCache>
            </c:numRef>
          </c:val>
        </c:ser>
        <c:dLbls>
          <c:showLegendKey val="0"/>
          <c:showVal val="0"/>
          <c:showCatName val="0"/>
          <c:showSerName val="0"/>
          <c:showPercent val="0"/>
          <c:showBubbleSize val="0"/>
        </c:dLbls>
        <c:gapWidth val="75"/>
        <c:axId val="159249920"/>
        <c:axId val="55368448"/>
      </c:barChart>
      <c:lineChart>
        <c:grouping val="standard"/>
        <c:varyColors val="0"/>
        <c:ser>
          <c:idx val="1"/>
          <c:order val="0"/>
          <c:tx>
            <c:strRef>
              <c:f>河川BOD!$A$6</c:f>
              <c:strCache>
                <c:ptCount val="1"/>
                <c:pt idx="0">
                  <c:v>BOD環境保全目標達成率</c:v>
                </c:pt>
              </c:strCache>
            </c:strRef>
          </c:tx>
          <c:spPr>
            <a:ln w="12700">
              <a:solidFill>
                <a:srgbClr val="000080"/>
              </a:solidFill>
            </a:ln>
          </c:spPr>
          <c:marker>
            <c:symbol val="diamond"/>
            <c:size val="7"/>
            <c:spPr>
              <a:solidFill>
                <a:schemeClr val="tx2"/>
              </a:solidFill>
              <a:ln>
                <a:solidFill>
                  <a:srgbClr val="000080"/>
                </a:solidFill>
              </a:ln>
            </c:spPr>
          </c:marker>
          <c:dLbls>
            <c:txPr>
              <a:bodyPr/>
              <a:lstStyle/>
              <a:p>
                <a:pPr>
                  <a:defRPr sz="900"/>
                </a:pPr>
                <a:endParaRPr lang="ja-JP"/>
              </a:p>
            </c:txPr>
            <c:dLblPos val="t"/>
            <c:showLegendKey val="0"/>
            <c:showVal val="1"/>
            <c:showCatName val="0"/>
            <c:showSerName val="0"/>
            <c:showPercent val="0"/>
            <c:showBubbleSize val="0"/>
            <c:showLeaderLines val="0"/>
          </c:dLbls>
          <c:cat>
            <c:numRef>
              <c:f>河川BOD!$T$2:$AD$2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河川BOD!$T$6:$AD$6</c:f>
              <c:numCache>
                <c:formatCode>0.0_ </c:formatCode>
                <c:ptCount val="11"/>
                <c:pt idx="0">
                  <c:v>70</c:v>
                </c:pt>
                <c:pt idx="1">
                  <c:v>71.3</c:v>
                </c:pt>
                <c:pt idx="2">
                  <c:v>72.5</c:v>
                </c:pt>
                <c:pt idx="3">
                  <c:v>81.3</c:v>
                </c:pt>
                <c:pt idx="4">
                  <c:v>82.5</c:v>
                </c:pt>
                <c:pt idx="5">
                  <c:v>85.2</c:v>
                </c:pt>
                <c:pt idx="6">
                  <c:v>87.7</c:v>
                </c:pt>
                <c:pt idx="7">
                  <c:v>92.6</c:v>
                </c:pt>
                <c:pt idx="8">
                  <c:v>86.4</c:v>
                </c:pt>
                <c:pt idx="9">
                  <c:v>90.1</c:v>
                </c:pt>
                <c:pt idx="10">
                  <c:v>96.3</c:v>
                </c:pt>
              </c:numCache>
            </c:numRef>
          </c:val>
          <c:smooth val="0"/>
        </c:ser>
        <c:dLbls>
          <c:showLegendKey val="0"/>
          <c:showVal val="0"/>
          <c:showCatName val="0"/>
          <c:showSerName val="0"/>
          <c:showPercent val="0"/>
          <c:showBubbleSize val="0"/>
        </c:dLbls>
        <c:marker val="1"/>
        <c:smooth val="0"/>
        <c:axId val="159249920"/>
        <c:axId val="55368448"/>
      </c:lineChart>
      <c:catAx>
        <c:axId val="159249920"/>
        <c:scaling>
          <c:orientation val="minMax"/>
        </c:scaling>
        <c:delete val="0"/>
        <c:axPos val="b"/>
        <c:title>
          <c:tx>
            <c:rich>
              <a:bodyPr/>
              <a:lstStyle/>
              <a:p>
                <a:pPr>
                  <a:defRPr sz="900"/>
                </a:pPr>
                <a:r>
                  <a:rPr lang="ja-JP" altLang="en-US" sz="900"/>
                  <a:t>（年度）</a:t>
                </a:r>
              </a:p>
            </c:rich>
          </c:tx>
          <c:layout>
            <c:manualLayout>
              <c:xMode val="edge"/>
              <c:yMode val="edge"/>
              <c:x val="0.89960147823696068"/>
              <c:y val="0.88359128937007869"/>
            </c:manualLayout>
          </c:layout>
          <c:overlay val="0"/>
        </c:title>
        <c:numFmt formatCode="General" sourceLinked="1"/>
        <c:majorTickMark val="none"/>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55368448"/>
        <c:crosses val="autoZero"/>
        <c:auto val="1"/>
        <c:lblAlgn val="ctr"/>
        <c:lblOffset val="100"/>
        <c:tickLblSkip val="1"/>
        <c:tickMarkSkip val="1"/>
        <c:noMultiLvlLbl val="0"/>
      </c:catAx>
      <c:valAx>
        <c:axId val="55368448"/>
        <c:scaling>
          <c:orientation val="minMax"/>
          <c:max val="100"/>
        </c:scaling>
        <c:delete val="0"/>
        <c:axPos val="l"/>
        <c:title>
          <c:tx>
            <c:rich>
              <a:bodyPr rot="0" vert="horz"/>
              <a:lstStyle/>
              <a:p>
                <a:pPr>
                  <a:defRPr sz="800"/>
                </a:pPr>
                <a:r>
                  <a:rPr lang="ja-JP" altLang="en-US" sz="800"/>
                  <a:t>割合</a:t>
                </a:r>
                <a:r>
                  <a:rPr lang="en-US" altLang="ja-JP" sz="800" baseline="0"/>
                  <a:t> </a:t>
                </a:r>
                <a:r>
                  <a:rPr lang="en-US" altLang="ja-JP" sz="800"/>
                  <a:t>(%)</a:t>
                </a:r>
              </a:p>
            </c:rich>
          </c:tx>
          <c:layout>
            <c:manualLayout>
              <c:xMode val="edge"/>
              <c:yMode val="edge"/>
              <c:x val="2.4652805909205256E-2"/>
              <c:y val="0"/>
            </c:manualLayout>
          </c:layout>
          <c:overlay val="0"/>
        </c:title>
        <c:numFmt formatCode="#,##0_);[Red]\(#,##0\)" sourceLinked="0"/>
        <c:majorTickMark val="in"/>
        <c:minorTickMark val="none"/>
        <c:tickLblPos val="nextTo"/>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59249920"/>
        <c:crosses val="autoZero"/>
        <c:crossBetween val="between"/>
        <c:majorUnit val="20"/>
      </c:valAx>
      <c:spPr>
        <a:solidFill>
          <a:srgbClr val="FFFFFF"/>
        </a:solidFill>
        <a:ln w="6350">
          <a:solidFill>
            <a:schemeClr val="bg1">
              <a:lumMod val="65000"/>
            </a:schemeClr>
          </a:solidFill>
        </a:ln>
      </c:spPr>
    </c:plotArea>
    <c:legend>
      <c:legendPos val="b"/>
      <c:layout>
        <c:manualLayout>
          <c:xMode val="edge"/>
          <c:yMode val="edge"/>
          <c:x val="4.7299212598425198E-2"/>
          <c:y val="0.88415449274628444"/>
          <c:w val="0.89999997873529891"/>
          <c:h val="8.5390419947506568E-2"/>
        </c:manualLayout>
      </c:layout>
      <c:overlay val="0"/>
      <c:txPr>
        <a:bodyPr/>
        <a:lstStyle/>
        <a:p>
          <a:pPr>
            <a:defRPr sz="900"/>
          </a:pPr>
          <a:endParaRPr lang="ja-JP"/>
        </a:p>
      </c:txPr>
    </c:legend>
    <c:plotVisOnly val="1"/>
    <c:dispBlanksAs val="gap"/>
    <c:showDLblsOverMax val="0"/>
  </c:chart>
  <c:spPr>
    <a:ln w="3175">
      <a:noFill/>
      <a:prstDash val="solid"/>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72266437766661"/>
          <c:y val="5.7164298534224847E-2"/>
          <c:w val="0.86729783773434987"/>
          <c:h val="0.78701871983639748"/>
        </c:manualLayout>
      </c:layout>
      <c:lineChart>
        <c:grouping val="standard"/>
        <c:varyColors val="0"/>
        <c:ser>
          <c:idx val="1"/>
          <c:order val="0"/>
          <c:tx>
            <c:strRef>
              <c:f>'p.5 生活排水処理率の推移'!$A$13</c:f>
              <c:strCache>
                <c:ptCount val="1"/>
                <c:pt idx="0">
                  <c:v>生活排水処理率（％）</c:v>
                </c:pt>
              </c:strCache>
            </c:strRef>
          </c:tx>
          <c:spPr>
            <a:ln w="38100">
              <a:solidFill>
                <a:srgbClr val="FF00FF"/>
              </a:solidFill>
              <a:prstDash val="solid"/>
            </a:ln>
          </c:spPr>
          <c:marker>
            <c:symbol val="square"/>
            <c:size val="7"/>
            <c:spPr>
              <a:solidFill>
                <a:srgbClr val="FF00FF"/>
              </a:solidFill>
              <a:ln>
                <a:solidFill>
                  <a:srgbClr val="FF00FF"/>
                </a:solidFill>
                <a:prstDash val="solid"/>
              </a:ln>
            </c:spPr>
          </c:marker>
          <c:dLbls>
            <c:spPr>
              <a:noFill/>
              <a:ln w="25400">
                <a:noFill/>
              </a:ln>
            </c:spPr>
            <c:txPr>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dLbls>
          <c:cat>
            <c:numRef>
              <c:f>'p.5 生活排水処理率の推移'!$C$3:$Z$3</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'p.5 生活排水処理率の推移'!$C$13:$Z$13</c:f>
              <c:numCache>
                <c:formatCode>#,##0.0;[Red]\-#,##0.0</c:formatCode>
                <c:ptCount val="24"/>
                <c:pt idx="0">
                  <c:v>68</c:v>
                </c:pt>
                <c:pt idx="1">
                  <c:v>69.400000000000006</c:v>
                </c:pt>
                <c:pt idx="2">
                  <c:v>71.099999999999994</c:v>
                </c:pt>
                <c:pt idx="3">
                  <c:v>73.099999999999994</c:v>
                </c:pt>
                <c:pt idx="4" formatCode="0.0_ ">
                  <c:v>74.099999999999994</c:v>
                </c:pt>
                <c:pt idx="5" formatCode="0.0_ ">
                  <c:v>75.400000000000006</c:v>
                </c:pt>
                <c:pt idx="6" formatCode="0.0_ ">
                  <c:v>76.7</c:v>
                </c:pt>
                <c:pt idx="7" formatCode="0.0_ ">
                  <c:v>78.599999999999994</c:v>
                </c:pt>
                <c:pt idx="8" formatCode="0.0_ ">
                  <c:v>79.599999999999994</c:v>
                </c:pt>
                <c:pt idx="9" formatCode="0.0_ ">
                  <c:v>81.2</c:v>
                </c:pt>
                <c:pt idx="10" formatCode="0.0_ ">
                  <c:v>83.7</c:v>
                </c:pt>
                <c:pt idx="11" formatCode="General">
                  <c:v>85.7</c:v>
                </c:pt>
                <c:pt idx="12" formatCode="General">
                  <c:v>87.3</c:v>
                </c:pt>
                <c:pt idx="13" formatCode="General">
                  <c:v>88.4</c:v>
                </c:pt>
                <c:pt idx="14">
                  <c:v>89.6</c:v>
                </c:pt>
                <c:pt idx="15">
                  <c:v>90.5</c:v>
                </c:pt>
                <c:pt idx="16">
                  <c:v>91.4</c:v>
                </c:pt>
                <c:pt idx="17">
                  <c:v>92.16</c:v>
                </c:pt>
                <c:pt idx="18">
                  <c:v>92.659125443187563</c:v>
                </c:pt>
                <c:pt idx="19">
                  <c:v>93.293574884662988</c:v>
                </c:pt>
                <c:pt idx="20">
                  <c:v>93.674732695554312</c:v>
                </c:pt>
                <c:pt idx="21" formatCode="General">
                  <c:v>94.1</c:v>
                </c:pt>
                <c:pt idx="22" formatCode="General">
                  <c:v>94.6</c:v>
                </c:pt>
                <c:pt idx="23" formatCode="0.0">
                  <c:v>95</c:v>
                </c:pt>
              </c:numCache>
            </c:numRef>
          </c:val>
          <c:smooth val="0"/>
        </c:ser>
        <c:dLbls>
          <c:showLegendKey val="0"/>
          <c:showVal val="0"/>
          <c:showCatName val="0"/>
          <c:showSerName val="0"/>
          <c:showPercent val="0"/>
          <c:showBubbleSize val="0"/>
        </c:dLbls>
        <c:marker val="1"/>
        <c:smooth val="0"/>
        <c:axId val="161638400"/>
        <c:axId val="160880256"/>
      </c:lineChart>
      <c:catAx>
        <c:axId val="161638400"/>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60880256"/>
        <c:crosses val="autoZero"/>
        <c:auto val="1"/>
        <c:lblAlgn val="ctr"/>
        <c:lblOffset val="100"/>
        <c:tickLblSkip val="1"/>
        <c:tickMarkSkip val="1"/>
        <c:noMultiLvlLbl val="0"/>
      </c:catAx>
      <c:valAx>
        <c:axId val="160880256"/>
        <c:scaling>
          <c:orientation val="minMax"/>
          <c:min val="60"/>
        </c:scaling>
        <c:delete val="0"/>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ＭＳ Ｐゴシック"/>
                    <a:ea typeface="ＭＳ Ｐゴシック"/>
                    <a:cs typeface="ＭＳ Ｐゴシック"/>
                  </a:defRPr>
                </a:pPr>
                <a:r>
                  <a:rPr lang="ja-JP" altLang="en-US" sz="1100"/>
                  <a:t>生活排水処理率　（％）</a:t>
                </a:r>
              </a:p>
            </c:rich>
          </c:tx>
          <c:layout>
            <c:manualLayout>
              <c:xMode val="edge"/>
              <c:yMode val="edge"/>
              <c:x val="1.6265456299028539E-2"/>
              <c:y val="8.5233621159673881E-2"/>
            </c:manualLayout>
          </c:layout>
          <c:overlay val="0"/>
          <c:spPr>
            <a:noFill/>
            <a:ln w="25400">
              <a:noFill/>
            </a:ln>
          </c:spPr>
        </c:title>
        <c:numFmt formatCode="0_ " sourceLinked="0"/>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61638400"/>
        <c:crosses val="autoZero"/>
        <c:crossBetween val="between"/>
        <c:majorUnit val="10"/>
      </c:valAx>
      <c:spPr>
        <a:solidFill>
          <a:srgbClr val="FFFF99"/>
        </a:solidFill>
        <a:ln w="12700">
          <a:solidFill>
            <a:srgbClr val="808080"/>
          </a:solidFill>
          <a:prstDash val="solid"/>
        </a:ln>
      </c:spPr>
    </c:plotArea>
    <c:plotVisOnly val="1"/>
    <c:dispBlanksAs val="gap"/>
    <c:showDLblsOverMax val="0"/>
  </c:chart>
  <c:spPr>
    <a:noFill/>
    <a:ln w="9525">
      <a:noFill/>
    </a:ln>
  </c:spPr>
  <c:txPr>
    <a:bodyPr/>
    <a:lstStyle/>
    <a:p>
      <a:pPr>
        <a:defRPr sz="9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F20F-BC0D-4A5F-A157-DE2DD48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武男</dc:creator>
  <cp:lastModifiedBy>長浜　智子</cp:lastModifiedBy>
  <cp:revision>3</cp:revision>
  <cp:lastPrinted>2016-08-30T02:09:00Z</cp:lastPrinted>
  <dcterms:created xsi:type="dcterms:W3CDTF">2016-08-30T01:54:00Z</dcterms:created>
  <dcterms:modified xsi:type="dcterms:W3CDTF">2016-08-30T02:09:00Z</dcterms:modified>
</cp:coreProperties>
</file>