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BD37D" w14:textId="77777777" w:rsidR="00D73D46" w:rsidRPr="002A0575" w:rsidRDefault="00633350" w:rsidP="007206E4">
      <w:pPr>
        <w:spacing w:line="340" w:lineRule="exact"/>
        <w:jc w:val="center"/>
        <w:rPr>
          <w:rFonts w:ascii="HG丸ｺﾞｼｯｸM-PRO" w:eastAsia="HG丸ｺﾞｼｯｸM-PRO" w:hAnsi="HG丸ｺﾞｼｯｸM-PRO"/>
          <w:b/>
        </w:rPr>
      </w:pPr>
      <w:r w:rsidRPr="002A0575">
        <w:rPr>
          <w:rFonts w:asciiTheme="majorEastAsia" w:eastAsiaTheme="majorEastAsia" w:hAnsiTheme="majorEastAsia" w:cs="Meiryo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B37A2C" wp14:editId="6862A82C">
                <wp:simplePos x="0" y="0"/>
                <wp:positionH relativeFrom="column">
                  <wp:posOffset>5314950</wp:posOffset>
                </wp:positionH>
                <wp:positionV relativeFrom="paragraph">
                  <wp:posOffset>-342900</wp:posOffset>
                </wp:positionV>
                <wp:extent cx="1022985" cy="140398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063F3" w14:textId="77777777" w:rsidR="00633350" w:rsidRPr="00486D68" w:rsidRDefault="00633350" w:rsidP="006333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6D68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="003D0F03">
                              <w:rPr>
                                <w:rFonts w:asciiTheme="majorEastAsia" w:eastAsiaTheme="majorEastAsia" w:hAnsiTheme="majorEastAsia"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37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5pt;margin-top:-27pt;width:80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">
                <v:textbox style="mso-fit-shape-to-text:t">
                  <w:txbxContent>
                    <w:p w:rsidR="00633350" w:rsidRPr="00486D68" w:rsidRDefault="00633350" w:rsidP="0063335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86D68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="003D0F03">
                        <w:rPr>
                          <w:rFonts w:asciiTheme="majorEastAsia" w:eastAsiaTheme="majorEastAsia" w:hAnsiTheme="majorEastAsia"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  <w:r w:rsidR="001A70C7" w:rsidRPr="002A0575">
        <w:rPr>
          <w:rFonts w:ascii="HG丸ｺﾞｼｯｸM-PRO" w:eastAsia="HG丸ｺﾞｼｯｸM-PRO" w:hAnsi="HG丸ｺﾞｼｯｸM-PRO" w:hint="eastAsia"/>
          <w:b/>
          <w:sz w:val="24"/>
        </w:rPr>
        <w:t>平成</w:t>
      </w:r>
      <w:r w:rsidR="005E5120" w:rsidRPr="002A0575">
        <w:rPr>
          <w:rFonts w:ascii="HG丸ｺﾞｼｯｸM-PRO" w:eastAsia="HG丸ｺﾞｼｯｸM-PRO" w:hAnsi="HG丸ｺﾞｼｯｸM-PRO" w:hint="eastAsia"/>
          <w:b/>
          <w:sz w:val="24"/>
        </w:rPr>
        <w:t>３０</w:t>
      </w:r>
      <w:r w:rsidR="001A70C7" w:rsidRPr="002A0575">
        <w:rPr>
          <w:rFonts w:ascii="HG丸ｺﾞｼｯｸM-PRO" w:eastAsia="HG丸ｺﾞｼｯｸM-PRO" w:hAnsi="HG丸ｺﾞｼｯｸM-PRO" w:hint="eastAsia"/>
          <w:b/>
          <w:sz w:val="24"/>
        </w:rPr>
        <w:t>年度</w:t>
      </w:r>
      <w:r w:rsidR="006C0334" w:rsidRPr="002A0575">
        <w:rPr>
          <w:rFonts w:ascii="HG丸ｺﾞｼｯｸM-PRO" w:eastAsia="HG丸ｺﾞｼｯｸM-PRO" w:hAnsi="HG丸ｺﾞｼｯｸM-PRO" w:hint="eastAsia"/>
          <w:b/>
          <w:sz w:val="24"/>
        </w:rPr>
        <w:t>に</w:t>
      </w:r>
      <w:r w:rsidR="001A70C7" w:rsidRPr="002A0575">
        <w:rPr>
          <w:rFonts w:ascii="HG丸ｺﾞｼｯｸM-PRO" w:eastAsia="HG丸ｺﾞｼｯｸM-PRO" w:hAnsi="HG丸ｺﾞｼｯｸM-PRO" w:hint="eastAsia"/>
          <w:b/>
          <w:sz w:val="24"/>
        </w:rPr>
        <w:t>講じた施策事業の点検・評価シートの概要について</w:t>
      </w:r>
    </w:p>
    <w:p w14:paraId="396721CB" w14:textId="77777777" w:rsidR="001A70C7" w:rsidRPr="001A70C7" w:rsidRDefault="001A70C7" w:rsidP="007206E4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44882B48" w14:textId="77777777" w:rsidR="001A70C7" w:rsidRPr="001A70C7" w:rsidRDefault="001A70C7" w:rsidP="007206E4">
      <w:pPr>
        <w:spacing w:line="340" w:lineRule="exact"/>
        <w:rPr>
          <w:rFonts w:ascii="HG丸ｺﾞｼｯｸM-PRO" w:eastAsia="HG丸ｺﾞｼｯｸM-PRO" w:hAnsi="HG丸ｺﾞｼｯｸM-PRO"/>
        </w:rPr>
      </w:pPr>
      <w:r w:rsidRPr="001A70C7">
        <w:rPr>
          <w:rFonts w:ascii="HG丸ｺﾞｼｯｸM-PRO" w:eastAsia="HG丸ｺﾞｼｯｸM-PRO" w:hAnsi="HG丸ｺﾞｼｯｸM-PRO" w:hint="eastAsia"/>
        </w:rPr>
        <w:t>１．各施策事業の</w:t>
      </w:r>
      <w:r w:rsidR="001C226F">
        <w:rPr>
          <w:rFonts w:ascii="HG丸ｺﾞｼｯｸM-PRO" w:eastAsia="HG丸ｺﾞｼｯｸM-PRO" w:hAnsi="HG丸ｺﾞｼｯｸM-PRO" w:hint="eastAsia"/>
        </w:rPr>
        <w:t>平成</w:t>
      </w:r>
      <w:r w:rsidR="005E5120">
        <w:rPr>
          <w:rFonts w:ascii="HG丸ｺﾞｼｯｸM-PRO" w:eastAsia="HG丸ｺﾞｼｯｸM-PRO" w:hAnsi="HG丸ｺﾞｼｯｸM-PRO" w:hint="eastAsia"/>
        </w:rPr>
        <w:t>３０</w:t>
      </w:r>
      <w:r w:rsidRPr="001A70C7">
        <w:rPr>
          <w:rFonts w:ascii="HG丸ｺﾞｼｯｸM-PRO" w:eastAsia="HG丸ｺﾞｼｯｸM-PRO" w:hAnsi="HG丸ｺﾞｼｯｸM-PRO" w:hint="eastAsia"/>
        </w:rPr>
        <w:t>年度の取組の進捗状況について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140"/>
        <w:gridCol w:w="1746"/>
        <w:gridCol w:w="1510"/>
        <w:gridCol w:w="1095"/>
        <w:gridCol w:w="1036"/>
        <w:gridCol w:w="950"/>
        <w:gridCol w:w="917"/>
        <w:gridCol w:w="950"/>
      </w:tblGrid>
      <w:tr w:rsidR="00B3346F" w:rsidRPr="001A70C7" w14:paraId="269EDAA1" w14:textId="77777777" w:rsidTr="00EA5CF5">
        <w:tc>
          <w:tcPr>
            <w:tcW w:w="2977" w:type="dxa"/>
            <w:gridSpan w:val="2"/>
            <w:vMerge w:val="restart"/>
            <w:vAlign w:val="center"/>
          </w:tcPr>
          <w:p w14:paraId="36F14E63" w14:textId="77777777" w:rsidR="00B3346F" w:rsidRDefault="00B3346F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進</w:t>
            </w:r>
            <w:r w:rsidR="002A057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捗</w:t>
            </w:r>
          </w:p>
        </w:tc>
        <w:tc>
          <w:tcPr>
            <w:tcW w:w="2672" w:type="dxa"/>
            <w:gridSpan w:val="2"/>
            <w:vAlign w:val="center"/>
          </w:tcPr>
          <w:p w14:paraId="6258EEA6" w14:textId="77777777" w:rsidR="00B3346F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H30</w:t>
            </w:r>
            <w:r w:rsidR="00B3346F">
              <w:rPr>
                <w:rFonts w:ascii="HG丸ｺﾞｼｯｸM-PRO" w:eastAsia="HG丸ｺﾞｼｯｸM-PRO" w:hAnsi="HG丸ｺﾞｼｯｸM-PRO" w:hint="eastAsia"/>
              </w:rPr>
              <w:t>年講じた</w:t>
            </w:r>
          </w:p>
        </w:tc>
        <w:tc>
          <w:tcPr>
            <w:tcW w:w="2023" w:type="dxa"/>
            <w:gridSpan w:val="2"/>
            <w:vAlign w:val="center"/>
          </w:tcPr>
          <w:p w14:paraId="08C84979" w14:textId="77777777" w:rsidR="00B3346F" w:rsidRDefault="00B3346F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（参考）</w:t>
            </w:r>
          </w:p>
          <w:p w14:paraId="06B76168" w14:textId="77777777" w:rsidR="00B3346F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H29</w:t>
            </w:r>
            <w:r w:rsidR="00B3346F">
              <w:rPr>
                <w:rFonts w:ascii="HG丸ｺﾞｼｯｸM-PRO" w:eastAsia="HG丸ｺﾞｼｯｸM-PRO" w:hAnsi="HG丸ｺﾞｼｯｸM-PRO" w:hint="eastAsia"/>
              </w:rPr>
              <w:t>年講じた</w:t>
            </w:r>
          </w:p>
        </w:tc>
        <w:tc>
          <w:tcPr>
            <w:tcW w:w="1898" w:type="dxa"/>
            <w:gridSpan w:val="2"/>
          </w:tcPr>
          <w:p w14:paraId="442079F8" w14:textId="77777777" w:rsidR="00B3346F" w:rsidRDefault="00B3346F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（参考）</w:t>
            </w:r>
          </w:p>
          <w:p w14:paraId="2CF3F8DC" w14:textId="77777777" w:rsidR="00B3346F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H28</w:t>
            </w:r>
            <w:r w:rsidR="00B3346F">
              <w:rPr>
                <w:rFonts w:ascii="HG丸ｺﾞｼｯｸM-PRO" w:eastAsia="HG丸ｺﾞｼｯｸM-PRO" w:hAnsi="HG丸ｺﾞｼｯｸM-PRO" w:hint="eastAsia"/>
              </w:rPr>
              <w:t>年度講じた</w:t>
            </w:r>
          </w:p>
        </w:tc>
      </w:tr>
      <w:tr w:rsidR="00B3346F" w:rsidRPr="001A70C7" w14:paraId="79024D19" w14:textId="77777777" w:rsidTr="00EA5CF5">
        <w:tc>
          <w:tcPr>
            <w:tcW w:w="2977" w:type="dxa"/>
            <w:gridSpan w:val="2"/>
            <w:vMerge/>
          </w:tcPr>
          <w:p w14:paraId="373609A3" w14:textId="77777777" w:rsidR="00B3346F" w:rsidRPr="001A70C7" w:rsidRDefault="00B3346F" w:rsidP="007206E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14:paraId="2F1C8011" w14:textId="77777777" w:rsidR="00B3346F" w:rsidRPr="001A70C7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1113" w:type="dxa"/>
          </w:tcPr>
          <w:p w14:paraId="7369DB72" w14:textId="77777777" w:rsidR="00B3346F" w:rsidRPr="001A70C7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</w:tc>
        <w:tc>
          <w:tcPr>
            <w:tcW w:w="1062" w:type="dxa"/>
          </w:tcPr>
          <w:p w14:paraId="3F14AB5C" w14:textId="77777777" w:rsidR="00B3346F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961" w:type="dxa"/>
          </w:tcPr>
          <w:p w14:paraId="16FEC782" w14:textId="77777777" w:rsidR="00B3346F" w:rsidRPr="001A70C7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</w:tc>
        <w:tc>
          <w:tcPr>
            <w:tcW w:w="937" w:type="dxa"/>
          </w:tcPr>
          <w:p w14:paraId="47388CF5" w14:textId="77777777" w:rsidR="00B3346F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961" w:type="dxa"/>
          </w:tcPr>
          <w:p w14:paraId="5F847ED3" w14:textId="77777777" w:rsidR="00B3346F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</w:tc>
      </w:tr>
      <w:tr w:rsidR="00DA4F99" w:rsidRPr="001A70C7" w14:paraId="50B815D4" w14:textId="77777777" w:rsidTr="007206E4">
        <w:tc>
          <w:tcPr>
            <w:tcW w:w="1175" w:type="dxa"/>
            <w:tcBorders>
              <w:right w:val="dotted" w:sz="4" w:space="0" w:color="auto"/>
            </w:tcBorders>
          </w:tcPr>
          <w:p w14:paraId="6854C039" w14:textId="77777777" w:rsidR="00DA4F99" w:rsidRPr="001A70C7" w:rsidRDefault="00DA4F99" w:rsidP="007206E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</w:t>
            </w:r>
          </w:p>
        </w:tc>
        <w:tc>
          <w:tcPr>
            <w:tcW w:w="1802" w:type="dxa"/>
            <w:tcBorders>
              <w:left w:val="dotted" w:sz="4" w:space="0" w:color="auto"/>
            </w:tcBorders>
          </w:tcPr>
          <w:p w14:paraId="165F4C90" w14:textId="77777777" w:rsidR="00DA4F99" w:rsidRPr="001A70C7" w:rsidRDefault="00DA4F99" w:rsidP="007206E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想定以下かつ要改善</w:t>
            </w:r>
          </w:p>
        </w:tc>
        <w:tc>
          <w:tcPr>
            <w:tcW w:w="1559" w:type="dxa"/>
          </w:tcPr>
          <w:p w14:paraId="6108DB78" w14:textId="77777777" w:rsidR="00DA4F99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113" w:type="dxa"/>
          </w:tcPr>
          <w:p w14:paraId="2BD87C69" w14:textId="77777777" w:rsidR="00DA4F99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  <w:r w:rsidR="004F3FB7">
              <w:rPr>
                <w:rFonts w:ascii="HG丸ｺﾞｼｯｸM-PRO" w:eastAsia="HG丸ｺﾞｼｯｸM-PRO" w:hAnsi="HG丸ｺﾞｼｯｸM-PRO" w:hint="eastAsia"/>
              </w:rPr>
              <w:t>％</w:t>
            </w:r>
          </w:p>
        </w:tc>
        <w:tc>
          <w:tcPr>
            <w:tcW w:w="1062" w:type="dxa"/>
          </w:tcPr>
          <w:p w14:paraId="2B299E9D" w14:textId="77777777" w:rsidR="00DA4F99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961" w:type="dxa"/>
          </w:tcPr>
          <w:p w14:paraId="76B6B809" w14:textId="77777777" w:rsidR="00DA4F99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1%</w:t>
            </w:r>
          </w:p>
        </w:tc>
        <w:tc>
          <w:tcPr>
            <w:tcW w:w="937" w:type="dxa"/>
          </w:tcPr>
          <w:p w14:paraId="5ABF2AA7" w14:textId="77777777" w:rsidR="00DA4F99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961" w:type="dxa"/>
          </w:tcPr>
          <w:p w14:paraId="72D42C65" w14:textId="77777777" w:rsidR="00DA4F99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DA4F99" w:rsidRPr="001A70C7" w14:paraId="755AFC11" w14:textId="77777777" w:rsidTr="007206E4">
        <w:tc>
          <w:tcPr>
            <w:tcW w:w="1175" w:type="dxa"/>
            <w:tcBorders>
              <w:right w:val="dotted" w:sz="4" w:space="0" w:color="auto"/>
            </w:tcBorders>
          </w:tcPr>
          <w:p w14:paraId="412A38A9" w14:textId="77777777" w:rsidR="00DA4F99" w:rsidRPr="001A70C7" w:rsidRDefault="00DA4F99" w:rsidP="007206E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☆☆</w:t>
            </w:r>
          </w:p>
        </w:tc>
        <w:tc>
          <w:tcPr>
            <w:tcW w:w="1802" w:type="dxa"/>
            <w:tcBorders>
              <w:left w:val="dotted" w:sz="4" w:space="0" w:color="auto"/>
            </w:tcBorders>
          </w:tcPr>
          <w:p w14:paraId="0BCC92A6" w14:textId="77777777" w:rsidR="00DA4F99" w:rsidRPr="001A70C7" w:rsidRDefault="00DA4F99" w:rsidP="007206E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想定以下（特に改善を要しない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559" w:type="dxa"/>
          </w:tcPr>
          <w:p w14:paraId="4222A952" w14:textId="77777777" w:rsidR="00DA4F99" w:rsidRDefault="005E6EFD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113" w:type="dxa"/>
          </w:tcPr>
          <w:p w14:paraId="46C67F69" w14:textId="77777777" w:rsidR="00DA4F99" w:rsidRDefault="00DA4F99" w:rsidP="007206E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E6EFD">
              <w:rPr>
                <w:rFonts w:ascii="HG丸ｺﾞｼｯｸM-PRO" w:eastAsia="HG丸ｺﾞｼｯｸM-PRO" w:hAnsi="HG丸ｺﾞｼｯｸM-PRO" w:hint="eastAsia"/>
              </w:rPr>
              <w:t>1</w:t>
            </w:r>
            <w:r w:rsidR="005E6EFD">
              <w:rPr>
                <w:rFonts w:ascii="HG丸ｺﾞｼｯｸM-PRO" w:eastAsia="HG丸ｺﾞｼｯｸM-PRO" w:hAnsi="HG丸ｺﾞｼｯｸM-PRO"/>
              </w:rPr>
              <w:t>0</w:t>
            </w:r>
            <w:r w:rsidR="004D5834">
              <w:rPr>
                <w:rFonts w:ascii="HG丸ｺﾞｼｯｸM-PRO" w:eastAsia="HG丸ｺﾞｼｯｸM-PRO" w:hAnsi="HG丸ｺﾞｼｯｸM-PRO" w:hint="eastAsia"/>
              </w:rPr>
              <w:t>％</w:t>
            </w:r>
          </w:p>
        </w:tc>
        <w:tc>
          <w:tcPr>
            <w:tcW w:w="1062" w:type="dxa"/>
          </w:tcPr>
          <w:p w14:paraId="4812CA11" w14:textId="77777777" w:rsidR="00DA4F99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961" w:type="dxa"/>
          </w:tcPr>
          <w:p w14:paraId="13DECFBC" w14:textId="77777777" w:rsidR="00DA4F99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DA4F99">
              <w:rPr>
                <w:rFonts w:ascii="HG丸ｺﾞｼｯｸM-PRO" w:eastAsia="HG丸ｺﾞｼｯｸM-PRO" w:hAnsi="HG丸ｺﾞｼｯｸM-PRO" w:hint="eastAsia"/>
              </w:rPr>
              <w:t>%</w:t>
            </w:r>
          </w:p>
          <w:p w14:paraId="65D425CD" w14:textId="77777777" w:rsidR="00DA4F99" w:rsidRDefault="00DA4F99" w:rsidP="007206E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7" w:type="dxa"/>
          </w:tcPr>
          <w:p w14:paraId="16BB26C1" w14:textId="77777777" w:rsidR="00DA4F99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  <w:p w14:paraId="24CA8891" w14:textId="77777777" w:rsidR="005E5120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1" w:type="dxa"/>
          </w:tcPr>
          <w:p w14:paraId="08E5DCF9" w14:textId="77777777" w:rsidR="00DA4F99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  <w:r w:rsidR="00DA4F99">
              <w:rPr>
                <w:rFonts w:ascii="HG丸ｺﾞｼｯｸM-PRO" w:eastAsia="HG丸ｺﾞｼｯｸM-PRO" w:hAnsi="HG丸ｺﾞｼｯｸM-PRO" w:hint="eastAsia"/>
              </w:rPr>
              <w:t>%</w:t>
            </w:r>
          </w:p>
        </w:tc>
      </w:tr>
      <w:tr w:rsidR="00DA4F99" w:rsidRPr="001A70C7" w14:paraId="2497E066" w14:textId="77777777" w:rsidTr="007206E4">
        <w:tc>
          <w:tcPr>
            <w:tcW w:w="1175" w:type="dxa"/>
            <w:tcBorders>
              <w:right w:val="dotted" w:sz="4" w:space="0" w:color="auto"/>
            </w:tcBorders>
          </w:tcPr>
          <w:p w14:paraId="3E85208C" w14:textId="77777777" w:rsidR="00DA4F99" w:rsidRPr="001A70C7" w:rsidRDefault="00DA4F99" w:rsidP="007206E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☆☆☆</w:t>
            </w:r>
          </w:p>
        </w:tc>
        <w:tc>
          <w:tcPr>
            <w:tcW w:w="1802" w:type="dxa"/>
            <w:tcBorders>
              <w:left w:val="dotted" w:sz="4" w:space="0" w:color="auto"/>
            </w:tcBorders>
          </w:tcPr>
          <w:p w14:paraId="143E64D1" w14:textId="77777777" w:rsidR="00DA4F99" w:rsidRPr="001A70C7" w:rsidRDefault="00DA4F99" w:rsidP="007206E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想定どおり</w:t>
            </w:r>
          </w:p>
        </w:tc>
        <w:tc>
          <w:tcPr>
            <w:tcW w:w="1559" w:type="dxa"/>
          </w:tcPr>
          <w:p w14:paraId="38AE641E" w14:textId="77777777" w:rsidR="00DA4F99" w:rsidRDefault="005E6EFD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6２</w:t>
            </w:r>
          </w:p>
        </w:tc>
        <w:tc>
          <w:tcPr>
            <w:tcW w:w="1113" w:type="dxa"/>
          </w:tcPr>
          <w:p w14:paraId="1543A399" w14:textId="77777777" w:rsidR="00DA4F99" w:rsidRDefault="005E6EFD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87</w:t>
            </w:r>
            <w:r w:rsidR="004D5834">
              <w:rPr>
                <w:rFonts w:ascii="HG丸ｺﾞｼｯｸM-PRO" w:eastAsia="HG丸ｺﾞｼｯｸM-PRO" w:hAnsi="HG丸ｺﾞｼｯｸM-PRO" w:hint="eastAsia"/>
              </w:rPr>
              <w:t>％</w:t>
            </w:r>
          </w:p>
        </w:tc>
        <w:tc>
          <w:tcPr>
            <w:tcW w:w="1062" w:type="dxa"/>
          </w:tcPr>
          <w:p w14:paraId="5EE7F01C" w14:textId="77777777" w:rsidR="00DA4F99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  <w:tc>
          <w:tcPr>
            <w:tcW w:w="961" w:type="dxa"/>
          </w:tcPr>
          <w:p w14:paraId="02F33F9D" w14:textId="77777777" w:rsidR="00DA4F99" w:rsidRDefault="00DA4F99" w:rsidP="005E512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  <w:r w:rsidR="005E5120">
              <w:rPr>
                <w:rFonts w:ascii="HG丸ｺﾞｼｯｸM-PRO" w:eastAsia="HG丸ｺﾞｼｯｸM-PRO" w:hAnsi="HG丸ｺﾞｼｯｸM-PRO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%</w:t>
            </w:r>
          </w:p>
        </w:tc>
        <w:tc>
          <w:tcPr>
            <w:tcW w:w="937" w:type="dxa"/>
          </w:tcPr>
          <w:p w14:paraId="48DC0A8E" w14:textId="77777777" w:rsidR="00DA4F99" w:rsidRDefault="00DA4F99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  <w:tc>
          <w:tcPr>
            <w:tcW w:w="961" w:type="dxa"/>
          </w:tcPr>
          <w:p w14:paraId="3C8DBCFC" w14:textId="77777777" w:rsidR="00DA4F99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87</w:t>
            </w:r>
            <w:r w:rsidR="00DA4F99">
              <w:rPr>
                <w:rFonts w:ascii="HG丸ｺﾞｼｯｸM-PRO" w:eastAsia="HG丸ｺﾞｼｯｸM-PRO" w:hAnsi="HG丸ｺﾞｼｯｸM-PRO" w:hint="eastAsia"/>
              </w:rPr>
              <w:t>%</w:t>
            </w:r>
          </w:p>
        </w:tc>
      </w:tr>
      <w:tr w:rsidR="00DA4F99" w:rsidRPr="001A70C7" w14:paraId="076BF920" w14:textId="77777777" w:rsidTr="007206E4">
        <w:tc>
          <w:tcPr>
            <w:tcW w:w="1175" w:type="dxa"/>
            <w:tcBorders>
              <w:right w:val="dotted" w:sz="4" w:space="0" w:color="auto"/>
            </w:tcBorders>
          </w:tcPr>
          <w:p w14:paraId="71885C27" w14:textId="77777777" w:rsidR="00DA4F99" w:rsidRPr="001A70C7" w:rsidRDefault="00DA4F99" w:rsidP="007206E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☆☆☆☆</w:t>
            </w:r>
          </w:p>
        </w:tc>
        <w:tc>
          <w:tcPr>
            <w:tcW w:w="1802" w:type="dxa"/>
            <w:tcBorders>
              <w:left w:val="dotted" w:sz="4" w:space="0" w:color="auto"/>
            </w:tcBorders>
          </w:tcPr>
          <w:p w14:paraId="17443FBA" w14:textId="77777777" w:rsidR="00DA4F99" w:rsidRPr="001A70C7" w:rsidRDefault="00DA4F99" w:rsidP="007206E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1A70C7">
              <w:rPr>
                <w:rFonts w:ascii="HG丸ｺﾞｼｯｸM-PRO" w:eastAsia="HG丸ｺﾞｼｯｸM-PRO" w:hAnsi="HG丸ｺﾞｼｯｸM-PRO" w:hint="eastAsia"/>
              </w:rPr>
              <w:t>想定以上</w:t>
            </w:r>
          </w:p>
        </w:tc>
        <w:tc>
          <w:tcPr>
            <w:tcW w:w="1559" w:type="dxa"/>
          </w:tcPr>
          <w:p w14:paraId="304D8A47" w14:textId="77777777" w:rsidR="00DA4F99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113" w:type="dxa"/>
          </w:tcPr>
          <w:p w14:paraId="29BE991D" w14:textId="77777777" w:rsidR="00DA4F99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 w:rsidR="004D5834">
              <w:rPr>
                <w:rFonts w:ascii="HG丸ｺﾞｼｯｸM-PRO" w:eastAsia="HG丸ｺﾞｼｯｸM-PRO" w:hAnsi="HG丸ｺﾞｼｯｸM-PRO" w:hint="eastAsia"/>
              </w:rPr>
              <w:t>%</w:t>
            </w:r>
          </w:p>
        </w:tc>
        <w:tc>
          <w:tcPr>
            <w:tcW w:w="1062" w:type="dxa"/>
          </w:tcPr>
          <w:p w14:paraId="1004C6C7" w14:textId="77777777" w:rsidR="00DA4F99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961" w:type="dxa"/>
          </w:tcPr>
          <w:p w14:paraId="224A8095" w14:textId="77777777" w:rsidR="00DA4F99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 w:rsidR="00DA4F99">
              <w:rPr>
                <w:rFonts w:ascii="HG丸ｺﾞｼｯｸM-PRO" w:eastAsia="HG丸ｺﾞｼｯｸM-PRO" w:hAnsi="HG丸ｺﾞｼｯｸM-PRO" w:hint="eastAsia"/>
              </w:rPr>
              <w:t>%</w:t>
            </w:r>
          </w:p>
        </w:tc>
        <w:tc>
          <w:tcPr>
            <w:tcW w:w="937" w:type="dxa"/>
          </w:tcPr>
          <w:p w14:paraId="1F33A820" w14:textId="77777777" w:rsidR="005E5120" w:rsidRDefault="005E5120" w:rsidP="005E512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961" w:type="dxa"/>
          </w:tcPr>
          <w:p w14:paraId="1BC59EDB" w14:textId="77777777" w:rsidR="00DA4F99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  <w:r w:rsidR="00DA4F99">
              <w:rPr>
                <w:rFonts w:ascii="HG丸ｺﾞｼｯｸM-PRO" w:eastAsia="HG丸ｺﾞｼｯｸM-PRO" w:hAnsi="HG丸ｺﾞｼｯｸM-PRO" w:hint="eastAsia"/>
              </w:rPr>
              <w:t>%</w:t>
            </w:r>
          </w:p>
        </w:tc>
      </w:tr>
      <w:tr w:rsidR="00B3346F" w:rsidRPr="001A70C7" w14:paraId="5892EF13" w14:textId="77777777" w:rsidTr="00EA5CF5">
        <w:tc>
          <w:tcPr>
            <w:tcW w:w="2977" w:type="dxa"/>
            <w:gridSpan w:val="2"/>
          </w:tcPr>
          <w:p w14:paraId="5440F1A1" w14:textId="77777777" w:rsidR="00B3346F" w:rsidRPr="001A70C7" w:rsidRDefault="00B3346F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1559" w:type="dxa"/>
          </w:tcPr>
          <w:p w14:paraId="5A827F62" w14:textId="77777777" w:rsidR="004D5834" w:rsidRPr="006A3E8B" w:rsidRDefault="002A0575" w:rsidP="005E512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71</w:t>
            </w:r>
          </w:p>
        </w:tc>
        <w:tc>
          <w:tcPr>
            <w:tcW w:w="1113" w:type="dxa"/>
          </w:tcPr>
          <w:p w14:paraId="5B5DC0E5" w14:textId="77777777" w:rsidR="00B3346F" w:rsidRPr="006A3E8B" w:rsidRDefault="00B3346F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2" w:type="dxa"/>
          </w:tcPr>
          <w:p w14:paraId="36BDF96B" w14:textId="77777777" w:rsidR="00B3346F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70</w:t>
            </w:r>
          </w:p>
        </w:tc>
        <w:tc>
          <w:tcPr>
            <w:tcW w:w="961" w:type="dxa"/>
          </w:tcPr>
          <w:p w14:paraId="31164AC0" w14:textId="77777777" w:rsidR="00B3346F" w:rsidRPr="006A3E8B" w:rsidRDefault="00B3346F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7" w:type="dxa"/>
          </w:tcPr>
          <w:p w14:paraId="3F3E692A" w14:textId="77777777" w:rsidR="00B3346F" w:rsidRDefault="005E5120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68</w:t>
            </w:r>
          </w:p>
        </w:tc>
        <w:tc>
          <w:tcPr>
            <w:tcW w:w="961" w:type="dxa"/>
          </w:tcPr>
          <w:p w14:paraId="585539B0" w14:textId="77777777" w:rsidR="00B3346F" w:rsidRDefault="00B3346F" w:rsidP="007206E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7EA9973" w14:textId="77777777" w:rsidR="003C3E37" w:rsidRDefault="003C3E37" w:rsidP="007206E4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1E0D99AF" w14:textId="77777777" w:rsidR="009E3AA4" w:rsidRDefault="00F13B91" w:rsidP="007206E4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3930E7">
        <w:rPr>
          <w:rFonts w:ascii="HG丸ｺﾞｼｯｸM-PRO" w:eastAsia="HG丸ｺﾞｼｯｸM-PRO" w:hAnsi="HG丸ｺﾞｼｯｸM-PRO" w:hint="eastAsia"/>
        </w:rPr>
        <w:t>進捗</w:t>
      </w:r>
      <w:r w:rsidR="0036437A">
        <w:rPr>
          <w:rFonts w:ascii="HG丸ｺﾞｼｯｸM-PRO" w:eastAsia="HG丸ｺﾞｼｯｸM-PRO" w:hAnsi="HG丸ｺﾞｼｯｸM-PRO" w:hint="eastAsia"/>
        </w:rPr>
        <w:t>状況</w:t>
      </w:r>
      <w:r w:rsidR="003930E7">
        <w:rPr>
          <w:rFonts w:ascii="HG丸ｺﾞｼｯｸM-PRO" w:eastAsia="HG丸ｺﾞｼｯｸM-PRO" w:hAnsi="HG丸ｺﾞｼｯｸM-PRO" w:hint="eastAsia"/>
        </w:rPr>
        <w:t>が想定以下又は想定以上となった</w:t>
      </w:r>
      <w:r>
        <w:rPr>
          <w:rFonts w:ascii="HG丸ｺﾞｼｯｸM-PRO" w:eastAsia="HG丸ｺﾞｼｯｸM-PRO" w:hAnsi="HG丸ｺﾞｼｯｸM-PRO" w:hint="eastAsia"/>
        </w:rPr>
        <w:t>施策事業について</w:t>
      </w:r>
    </w:p>
    <w:p w14:paraId="0ACD9E4D" w14:textId="77777777" w:rsidR="004D5834" w:rsidRDefault="004D5834" w:rsidP="002A0575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AD23AC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）想定以下（特に改善を要しない）【☆☆】となった施策事業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4110"/>
      </w:tblGrid>
      <w:tr w:rsidR="004D5834" w:rsidRPr="004D5834" w14:paraId="646BE06C" w14:textId="77777777" w:rsidTr="00E219A6">
        <w:tc>
          <w:tcPr>
            <w:tcW w:w="2268" w:type="dxa"/>
          </w:tcPr>
          <w:p w14:paraId="0D3EADA4" w14:textId="77777777" w:rsidR="004D5834" w:rsidRPr="004D5834" w:rsidRDefault="004D5834" w:rsidP="0099528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施策事業名</w:t>
            </w:r>
          </w:p>
        </w:tc>
        <w:tc>
          <w:tcPr>
            <w:tcW w:w="3828" w:type="dxa"/>
          </w:tcPr>
          <w:p w14:paraId="389832DD" w14:textId="77777777" w:rsidR="004D5834" w:rsidRPr="004D5834" w:rsidRDefault="004D5834" w:rsidP="0099528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取組指標</w:t>
            </w:r>
          </w:p>
        </w:tc>
        <w:tc>
          <w:tcPr>
            <w:tcW w:w="4110" w:type="dxa"/>
          </w:tcPr>
          <w:p w14:paraId="41E40A4C" w14:textId="77777777" w:rsidR="004D5834" w:rsidRPr="004D5834" w:rsidRDefault="004D5834" w:rsidP="00995285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実績（取組指標に対する結果</w:t>
            </w:r>
            <w:r w:rsidR="00AD23AC">
              <w:rPr>
                <w:rFonts w:ascii="HG丸ｺﾞｼｯｸM-PRO" w:eastAsia="HG丸ｺﾞｼｯｸM-PRO" w:hAnsi="HG丸ｺﾞｼｯｸM-PRO" w:hint="eastAsia"/>
                <w:szCs w:val="21"/>
              </w:rPr>
              <w:t>概要</w:t>
            </w: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4D5834" w:rsidRPr="004D5834" w14:paraId="1AB60C7D" w14:textId="77777777" w:rsidTr="00E219A6">
        <w:trPr>
          <w:trHeight w:val="1682"/>
        </w:trPr>
        <w:tc>
          <w:tcPr>
            <w:tcW w:w="2268" w:type="dxa"/>
          </w:tcPr>
          <w:p w14:paraId="198D6EC5" w14:textId="77777777" w:rsidR="004D5834" w:rsidRPr="004D5834" w:rsidRDefault="00283738" w:rsidP="00283738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2-1-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3</w:t>
            </w:r>
            <w:r w:rsidR="004D5834"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大阪府温暖化の防止等に関する条例に基づく指導</w:t>
            </w:r>
          </w:p>
        </w:tc>
        <w:tc>
          <w:tcPr>
            <w:tcW w:w="3828" w:type="dxa"/>
          </w:tcPr>
          <w:p w14:paraId="61DF45BE" w14:textId="5CB19029" w:rsidR="00995285" w:rsidRDefault="00AD23AC" w:rsidP="00995285">
            <w:pPr>
              <w:spacing w:line="34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○</w:t>
            </w:r>
            <w:r w:rsidR="00995285" w:rsidRPr="0099528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特定事業者の温室効果ガス排出量を</w:t>
            </w:r>
            <w:r w:rsidR="00BF03B8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前</w:t>
            </w:r>
            <w:r w:rsidR="00995285" w:rsidRPr="0099528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年度比１％削減</w:t>
            </w:r>
          </w:p>
          <w:p w14:paraId="4D83837B" w14:textId="77777777" w:rsidR="004D5834" w:rsidRPr="004D5834" w:rsidRDefault="00AD23AC" w:rsidP="00995285">
            <w:pPr>
              <w:spacing w:line="34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○</w:t>
            </w:r>
            <w:r w:rsidR="00995285" w:rsidRPr="0099528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特定事業者への立入等現地での調査件数　50件程度</w:t>
            </w:r>
          </w:p>
        </w:tc>
        <w:tc>
          <w:tcPr>
            <w:tcW w:w="4110" w:type="dxa"/>
            <w:vAlign w:val="center"/>
          </w:tcPr>
          <w:p w14:paraId="0C94A18C" w14:textId="77777777" w:rsidR="00BF03B8" w:rsidRDefault="00AD23AC" w:rsidP="00995285">
            <w:pPr>
              <w:spacing w:line="34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○</w:t>
            </w:r>
            <w:r w:rsidR="00995285" w:rsidRPr="0099528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特定事業者の約７割を占める、2015年度から2017年度までを計画期間とする事業者について、2017年度の温室効果ガス排出量の合計は、前年度比で0.6％増加</w:t>
            </w:r>
            <w:r w:rsidR="00BF03B8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。</w:t>
            </w:r>
          </w:p>
          <w:p w14:paraId="4957F062" w14:textId="79214658" w:rsidR="00995285" w:rsidRPr="00995285" w:rsidRDefault="00BF03B8" w:rsidP="00995285">
            <w:pPr>
              <w:spacing w:line="34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（</w:t>
            </w:r>
            <w:r w:rsidR="00995285" w:rsidRPr="0099528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基準年度である2014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年度と比較すると</w:t>
            </w:r>
            <w:r w:rsidR="00995285" w:rsidRPr="0099528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1.0％削減（年平均0.3％削減）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）</w:t>
            </w:r>
          </w:p>
          <w:p w14:paraId="4DADAC41" w14:textId="77777777" w:rsidR="004D5834" w:rsidRPr="004D5834" w:rsidRDefault="00AD23AC" w:rsidP="00995285">
            <w:pPr>
              <w:spacing w:line="340" w:lineRule="exac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○</w:t>
            </w:r>
            <w:r w:rsidR="00995285" w:rsidRPr="0099528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特定事業者への立入等現地での調査件数　43件</w:t>
            </w:r>
          </w:p>
        </w:tc>
      </w:tr>
      <w:tr w:rsidR="004D5834" w:rsidRPr="004D5834" w14:paraId="056B3551" w14:textId="77777777" w:rsidTr="00E219A6">
        <w:tc>
          <w:tcPr>
            <w:tcW w:w="2268" w:type="dxa"/>
          </w:tcPr>
          <w:p w14:paraId="5509C6D7" w14:textId="77777777" w:rsidR="004D5834" w:rsidRDefault="00995285" w:rsidP="0099528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2-2-9</w:t>
            </w:r>
            <w:r w:rsidR="001B6F8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廃棄物最終処分場の適正管理等</w:t>
            </w:r>
          </w:p>
        </w:tc>
        <w:tc>
          <w:tcPr>
            <w:tcW w:w="3828" w:type="dxa"/>
          </w:tcPr>
          <w:p w14:paraId="731DFF1E" w14:textId="77777777" w:rsidR="00995285" w:rsidRPr="00995285" w:rsidRDefault="00AD23AC" w:rsidP="0099528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995285" w:rsidRPr="00995285">
              <w:rPr>
                <w:rFonts w:ascii="HG丸ｺﾞｼｯｸM-PRO" w:eastAsia="HG丸ｺﾞｼｯｸM-PRO" w:hAnsi="HG丸ｺﾞｼｯｸM-PRO" w:hint="eastAsia"/>
                <w:szCs w:val="21"/>
              </w:rPr>
              <w:t>大阪湾圏域広域処理場整備事業の促進会議　10回</w:t>
            </w:r>
          </w:p>
          <w:p w14:paraId="60D11A02" w14:textId="77777777" w:rsidR="00995285" w:rsidRPr="00995285" w:rsidRDefault="00AD23AC" w:rsidP="0099528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995285" w:rsidRPr="00995285">
              <w:rPr>
                <w:rFonts w:ascii="HG丸ｺﾞｼｯｸM-PRO" w:eastAsia="HG丸ｺﾞｼｯｸM-PRO" w:hAnsi="HG丸ｺﾞｼｯｸM-PRO" w:hint="eastAsia"/>
                <w:szCs w:val="21"/>
              </w:rPr>
              <w:t>堺第７-３区の適切な維持管理</w:t>
            </w:r>
          </w:p>
          <w:p w14:paraId="50DF9F29" w14:textId="77777777" w:rsidR="00995285" w:rsidRPr="00AD23AC" w:rsidRDefault="00AD23AC" w:rsidP="00995285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995285"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環境調査12回　1,846検体</w:t>
            </w:r>
          </w:p>
          <w:p w14:paraId="2DE9B8F8" w14:textId="77777777" w:rsidR="00995285" w:rsidRPr="00AD23AC" w:rsidRDefault="00AD23AC" w:rsidP="00995285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</w:t>
            </w:r>
            <w:r w:rsidR="00995285"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護岸被覆防食工事　　60.6ｍ</w:t>
            </w:r>
          </w:p>
          <w:p w14:paraId="7A69CA19" w14:textId="77777777" w:rsidR="004D5834" w:rsidRPr="004D5834" w:rsidRDefault="00AD23AC" w:rsidP="00AD23AC">
            <w:pPr>
              <w:spacing w:line="340" w:lineRule="exact"/>
              <w:ind w:firstLineChars="100" w:firstLine="1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老朽化対策工事（排水路）</w:t>
            </w:r>
            <w:r w:rsidR="00995285"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111ｍ</w:t>
            </w:r>
          </w:p>
        </w:tc>
        <w:tc>
          <w:tcPr>
            <w:tcW w:w="4110" w:type="dxa"/>
          </w:tcPr>
          <w:p w14:paraId="477B1047" w14:textId="77777777" w:rsidR="00995285" w:rsidRPr="00995285" w:rsidRDefault="00AD23AC" w:rsidP="0099528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3E07A7">
              <w:rPr>
                <w:rFonts w:ascii="HG丸ｺﾞｼｯｸM-PRO" w:eastAsia="HG丸ｺﾞｼｯｸM-PRO" w:hAnsi="HG丸ｺﾞｼｯｸM-PRO" w:hint="eastAsia"/>
                <w:szCs w:val="21"/>
              </w:rPr>
              <w:t>ﾌｪﾆｯｸｽ</w:t>
            </w:r>
            <w:r w:rsidR="00995285" w:rsidRPr="00995285">
              <w:rPr>
                <w:rFonts w:ascii="HG丸ｺﾞｼｯｸM-PRO" w:eastAsia="HG丸ｺﾞｼｯｸM-PRO" w:hAnsi="HG丸ｺﾞｼｯｸM-PRO" w:hint="eastAsia"/>
                <w:szCs w:val="21"/>
              </w:rPr>
              <w:t>事業について、</w:t>
            </w:r>
            <w:r w:rsidR="003E07A7">
              <w:rPr>
                <w:rFonts w:ascii="HG丸ｺﾞｼｯｸM-PRO" w:eastAsia="HG丸ｺﾞｼｯｸM-PRO" w:hAnsi="HG丸ｺﾞｼｯｸM-PRO" w:hint="eastAsia"/>
                <w:szCs w:val="21"/>
              </w:rPr>
              <w:t>ﾌｪﾆｯｸｽｾﾝﾀｰ</w:t>
            </w:r>
            <w:r w:rsidR="00995285" w:rsidRPr="00995285">
              <w:rPr>
                <w:rFonts w:ascii="HG丸ｺﾞｼｯｸM-PRO" w:eastAsia="HG丸ｺﾞｼｯｸM-PRO" w:hAnsi="HG丸ｺﾞｼｯｸM-PRO" w:hint="eastAsia"/>
                <w:szCs w:val="21"/>
              </w:rPr>
              <w:t>及び関係地方公共団体等と連携し、次期計画の具体化に向けた取組み等を行いました。（会議等：9回）</w:t>
            </w:r>
          </w:p>
          <w:p w14:paraId="572C3C8C" w14:textId="77777777" w:rsidR="00995285" w:rsidRPr="00995285" w:rsidRDefault="00AD23AC" w:rsidP="0099528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3E07A7">
              <w:rPr>
                <w:rFonts w:ascii="HG丸ｺﾞｼｯｸM-PRO" w:eastAsia="HG丸ｺﾞｼｯｸM-PRO" w:hAnsi="HG丸ｺﾞｼｯｸM-PRO" w:hint="eastAsia"/>
                <w:szCs w:val="21"/>
              </w:rPr>
              <w:t>堺第７-</w:t>
            </w:r>
            <w:r w:rsidR="00995285" w:rsidRPr="00995285">
              <w:rPr>
                <w:rFonts w:ascii="HG丸ｺﾞｼｯｸM-PRO" w:eastAsia="HG丸ｺﾞｼｯｸM-PRO" w:hAnsi="HG丸ｺﾞｼｯｸM-PRO" w:hint="eastAsia"/>
                <w:szCs w:val="21"/>
              </w:rPr>
              <w:t>３区について、浸出水等が周辺環境へ影響を及ぼさないよう、排水処理施設及び水質改</w:t>
            </w:r>
            <w:r w:rsidR="003E07A7">
              <w:rPr>
                <w:rFonts w:ascii="HG丸ｺﾞｼｯｸM-PRO" w:eastAsia="HG丸ｺﾞｼｯｸM-PRO" w:hAnsi="HG丸ｺﾞｼｯｸM-PRO" w:hint="eastAsia"/>
                <w:szCs w:val="21"/>
              </w:rPr>
              <w:t>善設備の維持管理並びに水質の環境調査等を行いました。また、施設</w:t>
            </w:r>
            <w:r w:rsidR="00995285" w:rsidRPr="00995285">
              <w:rPr>
                <w:rFonts w:ascii="HG丸ｺﾞｼｯｸM-PRO" w:eastAsia="HG丸ｺﾞｼｯｸM-PRO" w:hAnsi="HG丸ｺﾞｼｯｸM-PRO" w:hint="eastAsia"/>
                <w:szCs w:val="21"/>
              </w:rPr>
              <w:t>老朽化に対応するため、護岸の被覆防食工事等を行いました。</w:t>
            </w:r>
          </w:p>
          <w:p w14:paraId="571BAF02" w14:textId="77777777" w:rsidR="00995285" w:rsidRPr="00AD23AC" w:rsidRDefault="00995285" w:rsidP="00E219A6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環境調査　　年12回　2,064検体</w:t>
            </w:r>
          </w:p>
          <w:p w14:paraId="5C15CBFF" w14:textId="77777777" w:rsidR="00995285" w:rsidRPr="00AD23AC" w:rsidRDefault="00995285" w:rsidP="003E07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護岸被覆防食工事　　　65m</w:t>
            </w:r>
          </w:p>
          <w:p w14:paraId="4B3FE188" w14:textId="77777777" w:rsidR="00995285" w:rsidRPr="00AD23AC" w:rsidRDefault="00995285" w:rsidP="003E07A7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老朽化対策工事（排水路）　0m</w:t>
            </w:r>
          </w:p>
          <w:p w14:paraId="6CBC0DD2" w14:textId="77777777" w:rsidR="007206E4" w:rsidRPr="004D5834" w:rsidRDefault="00995285" w:rsidP="003E07A7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(台風21号による災害復旧工事を優先したため、老朽化対策工事は当初計画より縮小しています)</w:t>
            </w:r>
          </w:p>
        </w:tc>
      </w:tr>
      <w:tr w:rsidR="004D5834" w:rsidRPr="004D5834" w14:paraId="067EABA6" w14:textId="77777777" w:rsidTr="00E219A6">
        <w:tc>
          <w:tcPr>
            <w:tcW w:w="2268" w:type="dxa"/>
          </w:tcPr>
          <w:p w14:paraId="7CE919FF" w14:textId="77777777" w:rsidR="004D5834" w:rsidRDefault="0021501E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2-3-4</w:t>
            </w:r>
            <w:r w:rsidR="001B6F8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共生の森づくり活動の推進</w:t>
            </w:r>
          </w:p>
        </w:tc>
        <w:tc>
          <w:tcPr>
            <w:tcW w:w="3828" w:type="dxa"/>
          </w:tcPr>
          <w:p w14:paraId="159746F9" w14:textId="77777777" w:rsidR="0021501E" w:rsidRPr="0021501E" w:rsidRDefault="00AD23AC" w:rsidP="00E219A6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参加人数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約1,200人</w:t>
            </w:r>
          </w:p>
          <w:p w14:paraId="678A7155" w14:textId="77777777" w:rsidR="004D5834" w:rsidRPr="004D5834" w:rsidRDefault="00AD23AC" w:rsidP="00E219A6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企業や府民による植栽面積</w:t>
            </w:r>
            <w:r w:rsidR="00E219A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約１ha</w:t>
            </w:r>
          </w:p>
        </w:tc>
        <w:tc>
          <w:tcPr>
            <w:tcW w:w="4110" w:type="dxa"/>
          </w:tcPr>
          <w:p w14:paraId="452AB088" w14:textId="77777777" w:rsidR="0021501E" w:rsidRPr="0021501E" w:rsidRDefault="00AD23AC" w:rsidP="00E219A6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参加人数：543人／年</w:t>
            </w:r>
          </w:p>
          <w:p w14:paraId="11C32567" w14:textId="77777777" w:rsidR="004D5834" w:rsidRPr="004D5834" w:rsidRDefault="00AD23AC" w:rsidP="00E219A6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○企業や府民による植栽面積</w:t>
            </w:r>
            <w:r w:rsidR="00E219A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約0.2ha</w:t>
            </w:r>
          </w:p>
        </w:tc>
      </w:tr>
      <w:tr w:rsidR="0021501E" w:rsidRPr="004D5834" w14:paraId="17109023" w14:textId="77777777" w:rsidTr="00E219A6">
        <w:tc>
          <w:tcPr>
            <w:tcW w:w="2268" w:type="dxa"/>
          </w:tcPr>
          <w:p w14:paraId="448BC0DE" w14:textId="77777777" w:rsidR="0021501E" w:rsidRDefault="0021501E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2-4-2-7 流域下水道事業の推進</w:t>
            </w:r>
          </w:p>
          <w:p w14:paraId="4072DC04" w14:textId="77777777" w:rsidR="0021501E" w:rsidRDefault="0021501E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6F575A" w14:textId="77777777" w:rsidR="0021501E" w:rsidRDefault="0021501E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776DFA0" w14:textId="77777777" w:rsidR="0021501E" w:rsidRDefault="0021501E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6DE55A" w14:textId="77777777" w:rsidR="0021501E" w:rsidRDefault="0021501E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28" w:type="dxa"/>
          </w:tcPr>
          <w:p w14:paraId="61047AA5" w14:textId="77777777" w:rsidR="00E219A6" w:rsidRDefault="00E219A6" w:rsidP="00E219A6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下水道普及率の向上</w:t>
            </w:r>
          </w:p>
          <w:p w14:paraId="03E1FAB0" w14:textId="77777777" w:rsidR="00E219A6" w:rsidRPr="00E219A6" w:rsidRDefault="0021501E" w:rsidP="00E219A6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219A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【参考】</w:t>
            </w:r>
            <w:r w:rsidR="00E219A6" w:rsidRPr="00E219A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下水道普及率</w:t>
            </w:r>
            <w:r w:rsidRPr="00E219A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96.1％</w:t>
            </w:r>
            <w:r w:rsidR="00E219A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</w:t>
            </w:r>
            <w:r w:rsidR="00E219A6">
              <w:rPr>
                <w:rFonts w:ascii="HG丸ｺﾞｼｯｸM-PRO" w:eastAsia="HG丸ｺﾞｼｯｸM-PRO" w:hAnsi="HG丸ｺﾞｼｯｸM-PRO"/>
                <w:sz w:val="18"/>
                <w:szCs w:val="21"/>
              </w:rPr>
              <w:t>2016</w:t>
            </w:r>
            <w:r w:rsidR="00E219A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年度末)</w:t>
            </w:r>
          </w:p>
          <w:p w14:paraId="0F5AF740" w14:textId="77777777" w:rsidR="0021501E" w:rsidRPr="0021501E" w:rsidRDefault="00E219A6" w:rsidP="00AD23AC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施設整備内容</w:t>
            </w:r>
          </w:p>
          <w:p w14:paraId="2FCC0667" w14:textId="77777777" w:rsidR="0021501E" w:rsidRPr="00AD23AC" w:rsidRDefault="0021501E" w:rsidP="003E07A7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合流式下水道の改善　 ２箇所</w:t>
            </w:r>
          </w:p>
          <w:p w14:paraId="411E6114" w14:textId="77777777" w:rsidR="00E219A6" w:rsidRDefault="00E219A6" w:rsidP="00E219A6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下水処理機能の計画的な維持保全</w:t>
            </w:r>
            <w:r w:rsidR="0021501E"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34箇所</w:t>
            </w:r>
          </w:p>
          <w:p w14:paraId="457F16EE" w14:textId="77777777" w:rsidR="00E219A6" w:rsidRDefault="0021501E" w:rsidP="00E219A6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（うち、水みらいセンター12箇所、ポン</w:t>
            </w:r>
          </w:p>
          <w:p w14:paraId="379F7A0F" w14:textId="77777777" w:rsidR="0021501E" w:rsidRPr="0021501E" w:rsidRDefault="0021501E" w:rsidP="00E219A6">
            <w:pPr>
              <w:adjustRightInd w:val="0"/>
              <w:snapToGrid w:val="0"/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/>
                <w:szCs w:val="21"/>
              </w:rPr>
            </w:pPr>
            <w:r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プ場22箇所）</w:t>
            </w:r>
          </w:p>
        </w:tc>
        <w:tc>
          <w:tcPr>
            <w:tcW w:w="4110" w:type="dxa"/>
          </w:tcPr>
          <w:p w14:paraId="7C1A63DE" w14:textId="77777777" w:rsidR="0021501E" w:rsidRPr="0021501E" w:rsidRDefault="00E219A6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下水道普及率の向上</w:t>
            </w:r>
          </w:p>
          <w:p w14:paraId="1B76345C" w14:textId="77777777" w:rsidR="0021501E" w:rsidRPr="00E219A6" w:rsidRDefault="0021501E" w:rsidP="00E219A6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219A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【参考】下水道普及率96.3%</w:t>
            </w:r>
            <w:r w:rsidR="00E219A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</w:t>
            </w:r>
            <w:r w:rsidR="00E219A6" w:rsidRPr="00E219A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2017年度</w:t>
            </w:r>
            <w:r w:rsidR="00E219A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末)</w:t>
            </w:r>
          </w:p>
          <w:p w14:paraId="20C378E0" w14:textId="77777777" w:rsidR="0021501E" w:rsidRPr="0021501E" w:rsidRDefault="00E219A6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施設整備内容</w:t>
            </w:r>
          </w:p>
          <w:p w14:paraId="0600FFD9" w14:textId="77777777" w:rsidR="00E219A6" w:rsidRDefault="0021501E" w:rsidP="003E07A7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寺島貯留施設（合流改善施設）、小阪合ポンプ</w:t>
            </w:r>
          </w:p>
          <w:p w14:paraId="6F63CC78" w14:textId="77777777" w:rsidR="00E219A6" w:rsidRDefault="0021501E" w:rsidP="003E07A7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場（分合流切り離し）を整備中。川俣水みらい</w:t>
            </w:r>
          </w:p>
          <w:p w14:paraId="62A810FA" w14:textId="77777777" w:rsidR="00E219A6" w:rsidRDefault="0021501E" w:rsidP="003E07A7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センター他（監視制御設備更新）、桑才ポンプ</w:t>
            </w:r>
          </w:p>
          <w:p w14:paraId="64A02A8C" w14:textId="77777777" w:rsidR="00E219A6" w:rsidRDefault="0021501E" w:rsidP="003E07A7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場他（雨水ポンプ設備更新）を整備中。（水み</w:t>
            </w:r>
          </w:p>
          <w:p w14:paraId="6F8D33FE" w14:textId="77777777" w:rsidR="0021501E" w:rsidRPr="0021501E" w:rsidRDefault="0021501E" w:rsidP="00E219A6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Cs w:val="21"/>
              </w:rPr>
            </w:pPr>
            <w:r w:rsidRPr="00AD23A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らいセンター12箇所、ポンプ場18箇所）</w:t>
            </w:r>
          </w:p>
        </w:tc>
      </w:tr>
      <w:tr w:rsidR="004D5834" w:rsidRPr="004D5834" w14:paraId="3FACA1E3" w14:textId="77777777" w:rsidTr="00E219A6">
        <w:tc>
          <w:tcPr>
            <w:tcW w:w="2268" w:type="dxa"/>
          </w:tcPr>
          <w:p w14:paraId="717641BD" w14:textId="77777777" w:rsidR="004D5834" w:rsidRDefault="001B6F80" w:rsidP="007206E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3-1　</w:t>
            </w:r>
            <w:r w:rsidRPr="001B6F80">
              <w:rPr>
                <w:rFonts w:ascii="HG丸ｺﾞｼｯｸM-PRO" w:eastAsia="HG丸ｺﾞｼｯｸM-PRO" w:hAnsi="HG丸ｺﾞｼｯｸM-PRO" w:hint="eastAsia"/>
                <w:szCs w:val="21"/>
              </w:rPr>
              <w:t>「みどりの風を感じる大都市・大阪」の推進</w:t>
            </w:r>
          </w:p>
        </w:tc>
        <w:tc>
          <w:tcPr>
            <w:tcW w:w="3828" w:type="dxa"/>
          </w:tcPr>
          <w:p w14:paraId="60C4E43F" w14:textId="77777777" w:rsidR="0021501E" w:rsidRPr="0021501E" w:rsidRDefault="003E07A7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実感できるみどりづくり事業による緑化促進</w:t>
            </w:r>
          </w:p>
          <w:p w14:paraId="7C753700" w14:textId="77777777" w:rsidR="0021501E" w:rsidRPr="0021501E" w:rsidRDefault="0021501E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「実感・みどり事業者」が行う緑陰等の整備及び緑化促進活動　６地区</w:t>
            </w:r>
          </w:p>
          <w:p w14:paraId="37CBED57" w14:textId="77777777" w:rsidR="004D5834" w:rsidRPr="004D5834" w:rsidRDefault="003E07A7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みどりの風促進区域での地域の緑化プラン策定、緑化施設の整備　４地区</w:t>
            </w:r>
          </w:p>
        </w:tc>
        <w:tc>
          <w:tcPr>
            <w:tcW w:w="4110" w:type="dxa"/>
          </w:tcPr>
          <w:p w14:paraId="255D03A4" w14:textId="77777777" w:rsidR="0021501E" w:rsidRPr="0021501E" w:rsidRDefault="003E07A7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「実感・みどり事業者」が行う、緑陰や府民が憩える緑化施設の整備等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１地区</w:t>
            </w:r>
          </w:p>
          <w:p w14:paraId="7C6166AB" w14:textId="77777777" w:rsidR="004D5834" w:rsidRPr="004D5834" w:rsidRDefault="003E07A7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みどりの風促進区域で、地域単位の緑化プラン策定、緑化施設の整備等　５地区</w:t>
            </w:r>
          </w:p>
        </w:tc>
      </w:tr>
      <w:tr w:rsidR="004D5834" w:rsidRPr="004D5834" w14:paraId="43FCA09D" w14:textId="77777777" w:rsidTr="00E219A6">
        <w:tc>
          <w:tcPr>
            <w:tcW w:w="2268" w:type="dxa"/>
          </w:tcPr>
          <w:p w14:paraId="5CCB4D5E" w14:textId="77777777" w:rsidR="004D5834" w:rsidRDefault="001B6F80" w:rsidP="007206E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3-8　</w:t>
            </w:r>
            <w:r w:rsidRPr="001B6F80">
              <w:rPr>
                <w:rFonts w:ascii="HG丸ｺﾞｼｯｸM-PRO" w:eastAsia="HG丸ｺﾞｼｯｸM-PRO" w:hAnsi="HG丸ｺﾞｼｯｸM-PRO" w:hint="eastAsia"/>
                <w:szCs w:val="21"/>
              </w:rPr>
              <w:t>クールスポットモデル拠点推進事業</w:t>
            </w:r>
          </w:p>
        </w:tc>
        <w:tc>
          <w:tcPr>
            <w:tcW w:w="3828" w:type="dxa"/>
          </w:tcPr>
          <w:p w14:paraId="7E63E90F" w14:textId="77777777" w:rsidR="004D5834" w:rsidRPr="004D5834" w:rsidRDefault="001B6F80" w:rsidP="007206E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B6F80">
              <w:rPr>
                <w:rFonts w:ascii="HG丸ｺﾞｼｯｸM-PRO" w:eastAsia="HG丸ｺﾞｼｯｸM-PRO" w:hAnsi="HG丸ｺﾞｼｯｸM-PRO" w:hint="eastAsia"/>
                <w:szCs w:val="21"/>
              </w:rPr>
              <w:t>新たなクールスポットを創出　2件</w:t>
            </w:r>
          </w:p>
        </w:tc>
        <w:tc>
          <w:tcPr>
            <w:tcW w:w="4110" w:type="dxa"/>
          </w:tcPr>
          <w:p w14:paraId="59F0E374" w14:textId="77777777" w:rsidR="0021501E" w:rsidRPr="0021501E" w:rsidRDefault="0021501E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モデルとなる先進的なクールスポットを整備する事業の公募を実施し（応募1事業）、１事業を採択</w:t>
            </w:r>
            <w:r w:rsidR="00E219A6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整備。</w:t>
            </w:r>
          </w:p>
          <w:p w14:paraId="0952AE7D" w14:textId="77777777" w:rsidR="004D5834" w:rsidRPr="004D5834" w:rsidRDefault="00E219A6" w:rsidP="00E219A6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</w:t>
            </w:r>
            <w:r w:rsidR="0021501E" w:rsidRPr="003E07A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大阪経済大学クールスポット整備事業</w:t>
            </w:r>
          </w:p>
        </w:tc>
      </w:tr>
      <w:tr w:rsidR="001B6F80" w:rsidRPr="004D5834" w14:paraId="3E49D4B6" w14:textId="77777777" w:rsidTr="00E219A6">
        <w:tc>
          <w:tcPr>
            <w:tcW w:w="2268" w:type="dxa"/>
          </w:tcPr>
          <w:p w14:paraId="4DAA9182" w14:textId="77777777" w:rsidR="001B6F80" w:rsidRDefault="001B6F80" w:rsidP="007206E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4-1　</w:t>
            </w:r>
            <w:r w:rsidRPr="001B6F80">
              <w:rPr>
                <w:rFonts w:ascii="HG丸ｺﾞｼｯｸM-PRO" w:eastAsia="HG丸ｺﾞｼｯｸM-PRO" w:hAnsi="HG丸ｺﾞｼｯｸM-PRO" w:hint="eastAsia"/>
                <w:szCs w:val="21"/>
              </w:rPr>
              <w:t>環境技術コーディネート事業</w:t>
            </w:r>
          </w:p>
        </w:tc>
        <w:tc>
          <w:tcPr>
            <w:tcW w:w="3828" w:type="dxa"/>
          </w:tcPr>
          <w:p w14:paraId="239D0657" w14:textId="77777777" w:rsidR="0021501E" w:rsidRPr="0021501E" w:rsidRDefault="003E07A7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おおさかエコテック技術評価　2件</w:t>
            </w:r>
          </w:p>
          <w:p w14:paraId="5A08F07A" w14:textId="77777777" w:rsidR="0021501E" w:rsidRPr="0021501E" w:rsidRDefault="003E07A7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展示会出展等　2回</w:t>
            </w:r>
          </w:p>
          <w:p w14:paraId="23FE4CFE" w14:textId="77777777" w:rsidR="001B6F80" w:rsidRPr="001B6F80" w:rsidRDefault="003E07A7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メールマガジンの発行　25件</w:t>
            </w:r>
          </w:p>
        </w:tc>
        <w:tc>
          <w:tcPr>
            <w:tcW w:w="4110" w:type="dxa"/>
          </w:tcPr>
          <w:p w14:paraId="6DDC697D" w14:textId="77777777" w:rsidR="0021501E" w:rsidRPr="0021501E" w:rsidRDefault="003E07A7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おおさかエコテック技術評価　0件</w:t>
            </w:r>
          </w:p>
          <w:p w14:paraId="3BC7C99C" w14:textId="77777777" w:rsidR="0021501E" w:rsidRPr="0021501E" w:rsidRDefault="003E07A7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展示会出展等　4回</w:t>
            </w:r>
          </w:p>
          <w:p w14:paraId="7A8E4068" w14:textId="77777777" w:rsidR="001B6F80" w:rsidRPr="001B6F80" w:rsidRDefault="003E07A7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メールマガジンの発行　18件</w:t>
            </w:r>
          </w:p>
        </w:tc>
      </w:tr>
    </w:tbl>
    <w:p w14:paraId="31721891" w14:textId="77777777" w:rsidR="006A3E8B" w:rsidRDefault="006A3E8B" w:rsidP="007206E4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01255356" w14:textId="77777777" w:rsidR="002A0575" w:rsidRDefault="002A0575" w:rsidP="007206E4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0FFAC9DC" w14:textId="77777777" w:rsidR="001B6F80" w:rsidRDefault="00AD23AC" w:rsidP="007206E4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</w:t>
      </w:r>
      <w:r w:rsidR="009E3AA4">
        <w:rPr>
          <w:rFonts w:ascii="HG丸ｺﾞｼｯｸM-PRO" w:eastAsia="HG丸ｺﾞｼｯｸM-PRO" w:hAnsi="HG丸ｺﾞｼｯｸM-PRO" w:hint="eastAsia"/>
        </w:rPr>
        <w:t>）</w:t>
      </w:r>
      <w:r w:rsidR="003930E7">
        <w:rPr>
          <w:rFonts w:ascii="HG丸ｺﾞｼｯｸM-PRO" w:eastAsia="HG丸ｺﾞｼｯｸM-PRO" w:hAnsi="HG丸ｺﾞｼｯｸM-PRO" w:hint="eastAsia"/>
        </w:rPr>
        <w:t>想定以上</w:t>
      </w:r>
      <w:r w:rsidR="001B6F80">
        <w:rPr>
          <w:rFonts w:ascii="HG丸ｺﾞｼｯｸM-PRO" w:eastAsia="HG丸ｺﾞｼｯｸM-PRO" w:hAnsi="HG丸ｺﾞｼｯｸM-PRO" w:hint="eastAsia"/>
        </w:rPr>
        <w:t>【☆☆☆☆】</w:t>
      </w:r>
      <w:r w:rsidR="002A0575">
        <w:rPr>
          <w:rFonts w:ascii="HG丸ｺﾞｼｯｸM-PRO" w:eastAsia="HG丸ｺﾞｼｯｸM-PRO" w:hAnsi="HG丸ｺﾞｼｯｸM-PRO" w:hint="eastAsia"/>
        </w:rPr>
        <w:t>となった施策事業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4110"/>
      </w:tblGrid>
      <w:tr w:rsidR="001B6F80" w:rsidRPr="004D5834" w14:paraId="325F01F3" w14:textId="77777777" w:rsidTr="00E219A6">
        <w:tc>
          <w:tcPr>
            <w:tcW w:w="2268" w:type="dxa"/>
          </w:tcPr>
          <w:p w14:paraId="231EB891" w14:textId="77777777" w:rsidR="001B6F80" w:rsidRPr="004D5834" w:rsidRDefault="001B6F80" w:rsidP="00E219A6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施策事業名</w:t>
            </w:r>
          </w:p>
        </w:tc>
        <w:tc>
          <w:tcPr>
            <w:tcW w:w="3828" w:type="dxa"/>
          </w:tcPr>
          <w:p w14:paraId="6C9B6821" w14:textId="77777777" w:rsidR="001B6F80" w:rsidRPr="004D5834" w:rsidRDefault="001B6F80" w:rsidP="00E219A6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取組指標</w:t>
            </w:r>
          </w:p>
        </w:tc>
        <w:tc>
          <w:tcPr>
            <w:tcW w:w="4110" w:type="dxa"/>
          </w:tcPr>
          <w:p w14:paraId="20F6AD31" w14:textId="77777777" w:rsidR="001B6F80" w:rsidRPr="004D5834" w:rsidRDefault="001B6F80" w:rsidP="00E219A6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実績（取組指標に対する結果</w:t>
            </w:r>
            <w:r w:rsidR="00E219A6">
              <w:rPr>
                <w:rFonts w:ascii="HG丸ｺﾞｼｯｸM-PRO" w:eastAsia="HG丸ｺﾞｼｯｸM-PRO" w:hAnsi="HG丸ｺﾞｼｯｸM-PRO" w:hint="eastAsia"/>
                <w:szCs w:val="21"/>
              </w:rPr>
              <w:t>概要</w:t>
            </w:r>
            <w:r w:rsidRPr="004D5834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1B6F80" w:rsidRPr="004D5834" w14:paraId="7FFE3CC7" w14:textId="77777777" w:rsidTr="002A0575">
        <w:trPr>
          <w:trHeight w:val="722"/>
        </w:trPr>
        <w:tc>
          <w:tcPr>
            <w:tcW w:w="2268" w:type="dxa"/>
          </w:tcPr>
          <w:p w14:paraId="01DA9642" w14:textId="77777777" w:rsidR="001B6F80" w:rsidRDefault="001B6F80" w:rsidP="007206E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3-5　</w:t>
            </w:r>
            <w:r w:rsidRPr="001B6F80">
              <w:rPr>
                <w:rFonts w:ascii="HG丸ｺﾞｼｯｸM-PRO" w:eastAsia="HG丸ｺﾞｼｯｸM-PRO" w:hAnsi="HG丸ｺﾞｼｯｸM-PRO" w:hint="eastAsia"/>
                <w:szCs w:val="21"/>
              </w:rPr>
              <w:t>指定文化財等の保全・活用と次世代への継承</w:t>
            </w:r>
          </w:p>
        </w:tc>
        <w:tc>
          <w:tcPr>
            <w:tcW w:w="3828" w:type="dxa"/>
            <w:vAlign w:val="center"/>
          </w:tcPr>
          <w:p w14:paraId="39C30053" w14:textId="77777777" w:rsidR="0021501E" w:rsidRPr="0021501E" w:rsidRDefault="00E219A6" w:rsidP="0021501E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文化財指定、登録の推進　　６件</w:t>
            </w:r>
          </w:p>
          <w:p w14:paraId="08F0394A" w14:textId="77777777" w:rsidR="001B6F80" w:rsidRPr="004D5834" w:rsidRDefault="00E219A6" w:rsidP="002A057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文化財保存修理等補助事業　10件</w:t>
            </w:r>
          </w:p>
        </w:tc>
        <w:tc>
          <w:tcPr>
            <w:tcW w:w="4110" w:type="dxa"/>
            <w:vAlign w:val="center"/>
          </w:tcPr>
          <w:p w14:paraId="02D27ACB" w14:textId="77777777" w:rsidR="0021501E" w:rsidRPr="0021501E" w:rsidRDefault="002A0575" w:rsidP="002A057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○文化財指定、登録の推進　　41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件</w:t>
            </w:r>
          </w:p>
          <w:p w14:paraId="5FBD65FB" w14:textId="77777777" w:rsidR="001B6F80" w:rsidRPr="004D5834" w:rsidRDefault="002A0575" w:rsidP="002A0575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○文化財保存修理等補助事業　20</w:t>
            </w:r>
            <w:r w:rsidR="0021501E" w:rsidRPr="0021501E">
              <w:rPr>
                <w:rFonts w:ascii="HG丸ｺﾞｼｯｸM-PRO" w:eastAsia="HG丸ｺﾞｼｯｸM-PRO" w:hAnsi="HG丸ｺﾞｼｯｸM-PRO" w:hint="eastAsia"/>
                <w:szCs w:val="21"/>
              </w:rPr>
              <w:t>件</w:t>
            </w:r>
          </w:p>
        </w:tc>
      </w:tr>
      <w:tr w:rsidR="001B6F80" w:rsidRPr="004D5834" w14:paraId="71C770D6" w14:textId="77777777" w:rsidTr="00E219A6">
        <w:tc>
          <w:tcPr>
            <w:tcW w:w="2268" w:type="dxa"/>
          </w:tcPr>
          <w:p w14:paraId="576E9308" w14:textId="77777777" w:rsidR="001B6F80" w:rsidRDefault="001B6F80" w:rsidP="00AD23AC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4-3　</w:t>
            </w:r>
            <w:r w:rsidR="00AD23AC">
              <w:rPr>
                <w:rFonts w:ascii="HG丸ｺﾞｼｯｸM-PRO" w:eastAsia="HG丸ｺﾞｼｯｸM-PRO" w:hAnsi="HG丸ｺﾞｼｯｸM-PRO" w:hint="eastAsia"/>
                <w:szCs w:val="21"/>
              </w:rPr>
              <w:t>中小企業スマートエネルギービジネス拡大事業</w:t>
            </w:r>
            <w:r w:rsidR="00AD23A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480B73BF" w14:textId="77777777" w:rsidR="001B6F80" w:rsidRPr="004D5834" w:rsidRDefault="001B6F80" w:rsidP="007206E4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B6F80">
              <w:rPr>
                <w:rFonts w:ascii="HG丸ｺﾞｼｯｸM-PRO" w:eastAsia="HG丸ｺﾞｼｯｸM-PRO" w:hAnsi="HG丸ｺﾞｼｯｸM-PRO" w:hint="eastAsia"/>
                <w:szCs w:val="21"/>
              </w:rPr>
              <w:t>企業訪問件数　100件／年</w:t>
            </w:r>
          </w:p>
        </w:tc>
        <w:tc>
          <w:tcPr>
            <w:tcW w:w="4110" w:type="dxa"/>
            <w:vAlign w:val="center"/>
          </w:tcPr>
          <w:p w14:paraId="7A64380E" w14:textId="77777777" w:rsidR="001B6F80" w:rsidRPr="00375FD9" w:rsidRDefault="001B6F80" w:rsidP="00375FD9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75FD9">
              <w:rPr>
                <w:rFonts w:ascii="HG丸ｺﾞｼｯｸM-PRO" w:eastAsia="HG丸ｺﾞｼｯｸM-PRO" w:hAnsi="HG丸ｺﾞｼｯｸM-PRO" w:hint="eastAsia"/>
                <w:szCs w:val="21"/>
              </w:rPr>
              <w:t>企業訪問件数　185件/年</w:t>
            </w:r>
          </w:p>
        </w:tc>
      </w:tr>
    </w:tbl>
    <w:p w14:paraId="0B40B669" w14:textId="77777777" w:rsidR="009E3AA4" w:rsidRDefault="009E3AA4" w:rsidP="007206E4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4CA28694" w14:textId="77777777" w:rsidR="002A0575" w:rsidRDefault="002A0575" w:rsidP="007206E4">
      <w:pPr>
        <w:spacing w:line="340" w:lineRule="exact"/>
        <w:rPr>
          <w:rFonts w:ascii="HG丸ｺﾞｼｯｸM-PRO" w:eastAsia="HG丸ｺﾞｼｯｸM-PRO" w:hAnsi="HG丸ｺﾞｼｯｸM-PRO"/>
        </w:rPr>
      </w:pPr>
    </w:p>
    <w:p w14:paraId="1211AA98" w14:textId="77777777" w:rsidR="002A0575" w:rsidRDefault="002A0575" w:rsidP="002A0575">
      <w:pPr>
        <w:spacing w:line="34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　上</w:t>
      </w:r>
    </w:p>
    <w:sectPr w:rsidR="002A0575" w:rsidSect="003C3E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5D1D3" w14:textId="77777777" w:rsidR="008A256B" w:rsidRDefault="008A256B" w:rsidP="001A70C7">
      <w:r>
        <w:separator/>
      </w:r>
    </w:p>
  </w:endnote>
  <w:endnote w:type="continuationSeparator" w:id="0">
    <w:p w14:paraId="3B5F4400" w14:textId="77777777" w:rsidR="008A256B" w:rsidRDefault="008A256B" w:rsidP="001A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A3FFE" w14:textId="77777777" w:rsidR="008A256B" w:rsidRDefault="008A256B" w:rsidP="001A70C7">
      <w:r>
        <w:separator/>
      </w:r>
    </w:p>
  </w:footnote>
  <w:footnote w:type="continuationSeparator" w:id="0">
    <w:p w14:paraId="4C05C4A5" w14:textId="77777777" w:rsidR="008A256B" w:rsidRDefault="008A256B" w:rsidP="001A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A99"/>
    <w:multiLevelType w:val="hybridMultilevel"/>
    <w:tmpl w:val="27569574"/>
    <w:lvl w:ilvl="0" w:tplc="8014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640BB"/>
    <w:multiLevelType w:val="hybridMultilevel"/>
    <w:tmpl w:val="FB56BB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91676"/>
    <w:multiLevelType w:val="hybridMultilevel"/>
    <w:tmpl w:val="89262038"/>
    <w:lvl w:ilvl="0" w:tplc="8014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8E1CCD"/>
    <w:multiLevelType w:val="hybridMultilevel"/>
    <w:tmpl w:val="36CEFB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CA2A86"/>
    <w:multiLevelType w:val="hybridMultilevel"/>
    <w:tmpl w:val="5D5C0D7C"/>
    <w:lvl w:ilvl="0" w:tplc="80140C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62"/>
    <w:rsid w:val="0006591B"/>
    <w:rsid w:val="000C6CAF"/>
    <w:rsid w:val="00134AB6"/>
    <w:rsid w:val="0013609D"/>
    <w:rsid w:val="0015204C"/>
    <w:rsid w:val="00160E3E"/>
    <w:rsid w:val="001A70C7"/>
    <w:rsid w:val="001B6F80"/>
    <w:rsid w:val="001C226F"/>
    <w:rsid w:val="0021501E"/>
    <w:rsid w:val="002534CF"/>
    <w:rsid w:val="00282A0B"/>
    <w:rsid w:val="00283738"/>
    <w:rsid w:val="002A0575"/>
    <w:rsid w:val="003301BE"/>
    <w:rsid w:val="0036437A"/>
    <w:rsid w:val="00375FD9"/>
    <w:rsid w:val="003930E7"/>
    <w:rsid w:val="003B621E"/>
    <w:rsid w:val="003C3E37"/>
    <w:rsid w:val="003D0F03"/>
    <w:rsid w:val="003E07A7"/>
    <w:rsid w:val="004A4DAB"/>
    <w:rsid w:val="004C7807"/>
    <w:rsid w:val="004D5834"/>
    <w:rsid w:val="004F3FB7"/>
    <w:rsid w:val="00532E74"/>
    <w:rsid w:val="0058497B"/>
    <w:rsid w:val="005E128A"/>
    <w:rsid w:val="005E5120"/>
    <w:rsid w:val="005E6EFD"/>
    <w:rsid w:val="005E78FC"/>
    <w:rsid w:val="00633350"/>
    <w:rsid w:val="006A3E8B"/>
    <w:rsid w:val="006C0334"/>
    <w:rsid w:val="006D4ABB"/>
    <w:rsid w:val="006E50A4"/>
    <w:rsid w:val="007206E4"/>
    <w:rsid w:val="007560A2"/>
    <w:rsid w:val="00785F65"/>
    <w:rsid w:val="008A256B"/>
    <w:rsid w:val="008C597B"/>
    <w:rsid w:val="00995285"/>
    <w:rsid w:val="009A5BFE"/>
    <w:rsid w:val="009E3AA4"/>
    <w:rsid w:val="00A3390F"/>
    <w:rsid w:val="00A5710E"/>
    <w:rsid w:val="00A738F9"/>
    <w:rsid w:val="00AD23AC"/>
    <w:rsid w:val="00B3346F"/>
    <w:rsid w:val="00B4554E"/>
    <w:rsid w:val="00B80086"/>
    <w:rsid w:val="00BC28F0"/>
    <w:rsid w:val="00BF03B8"/>
    <w:rsid w:val="00BF3282"/>
    <w:rsid w:val="00BF5C4D"/>
    <w:rsid w:val="00C34514"/>
    <w:rsid w:val="00C357B9"/>
    <w:rsid w:val="00C36623"/>
    <w:rsid w:val="00C86C62"/>
    <w:rsid w:val="00D2234A"/>
    <w:rsid w:val="00D73D46"/>
    <w:rsid w:val="00DA4F99"/>
    <w:rsid w:val="00E219A6"/>
    <w:rsid w:val="00EA5CF5"/>
    <w:rsid w:val="00F1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67AB86"/>
  <w15:docId w15:val="{81297E89-9F3D-4D26-BC1B-5511D63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0C7"/>
  </w:style>
  <w:style w:type="paragraph" w:styleId="a5">
    <w:name w:val="footer"/>
    <w:basedOn w:val="a"/>
    <w:link w:val="a6"/>
    <w:uiPriority w:val="99"/>
    <w:unhideWhenUsed/>
    <w:rsid w:val="001A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0C7"/>
  </w:style>
  <w:style w:type="table" w:styleId="a7">
    <w:name w:val="Table Grid"/>
    <w:basedOn w:val="a1"/>
    <w:uiPriority w:val="59"/>
    <w:rsid w:val="001A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5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F711-BB9F-40DC-85E8-0B7A36F239C6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F1F219-724E-4723-ADB5-C2C470736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41CEA-1F04-4871-A494-B5DF8107CF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BB70E-2A93-4D50-BAA4-FC0A29B6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長濵　智子</cp:lastModifiedBy>
  <cp:revision>4</cp:revision>
  <cp:lastPrinted>2019-08-01T00:58:00Z</cp:lastPrinted>
  <dcterms:created xsi:type="dcterms:W3CDTF">2019-08-01T05:59:00Z</dcterms:created>
  <dcterms:modified xsi:type="dcterms:W3CDTF">2019-08-07T01:24:00Z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