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93D" w:rsidRPr="00317D9C" w:rsidRDefault="00F7193D" w:rsidP="00F7193D">
      <w:pPr>
        <w:adjustRightInd w:val="0"/>
        <w:snapToGrid w:val="0"/>
        <w:spacing w:line="280" w:lineRule="exact"/>
        <w:jc w:val="center"/>
        <w:rPr>
          <w:rFonts w:ascii="HG丸ｺﾞｼｯｸM-PRO" w:eastAsia="HG丸ｺﾞｼｯｸM-PRO" w:hAnsi="HG丸ｺﾞｼｯｸM-PRO"/>
          <w:b/>
          <w:sz w:val="22"/>
          <w:szCs w:val="20"/>
        </w:rPr>
      </w:pPr>
      <w:r w:rsidRPr="00317D9C">
        <w:rPr>
          <w:rFonts w:ascii="HG丸ｺﾞｼｯｸM-PRO" w:eastAsia="HG丸ｺﾞｼｯｸM-PRO" w:hAnsi="HG丸ｺﾞｼｯｸM-PRO" w:hint="eastAsia"/>
          <w:b/>
          <w:sz w:val="22"/>
          <w:szCs w:val="20"/>
        </w:rPr>
        <w:t>２０１7年（平成２9年度）複数年サイクル点検評価レポート【施策評価】</w:t>
      </w:r>
    </w:p>
    <w:p w:rsidR="00D4719D" w:rsidRPr="00317D9C"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5244"/>
        <w:gridCol w:w="1138"/>
        <w:gridCol w:w="1275"/>
        <w:gridCol w:w="993"/>
        <w:gridCol w:w="5099"/>
      </w:tblGrid>
      <w:tr w:rsidR="00317D9C" w:rsidRPr="00317D9C" w:rsidTr="008C29B6">
        <w:tc>
          <w:tcPr>
            <w:tcW w:w="993" w:type="dxa"/>
            <w:tcBorders>
              <w:top w:val="single" w:sz="12" w:space="0" w:color="auto"/>
              <w:left w:val="single" w:sz="12" w:space="0" w:color="auto"/>
              <w:bottom w:val="single" w:sz="12" w:space="0" w:color="auto"/>
            </w:tcBorders>
            <w:shd w:val="clear" w:color="auto" w:fill="FFFF00"/>
          </w:tcPr>
          <w:p w:rsidR="00AB4937" w:rsidRPr="00317D9C"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317D9C">
              <w:rPr>
                <w:rFonts w:ascii="HG丸ｺﾞｼｯｸM-PRO" w:eastAsia="HG丸ｺﾞｼｯｸM-PRO" w:hAnsi="HG丸ｺﾞｼｯｸM-PRO" w:hint="eastAsia"/>
                <w:sz w:val="24"/>
                <w:szCs w:val="20"/>
              </w:rPr>
              <w:t>分野名</w:t>
            </w:r>
          </w:p>
        </w:tc>
        <w:tc>
          <w:tcPr>
            <w:tcW w:w="5244" w:type="dxa"/>
            <w:tcBorders>
              <w:top w:val="single" w:sz="12" w:space="0" w:color="auto"/>
              <w:bottom w:val="single" w:sz="12" w:space="0" w:color="auto"/>
            </w:tcBorders>
          </w:tcPr>
          <w:p w:rsidR="00AB4937" w:rsidRPr="00317D9C" w:rsidRDefault="00525DFA" w:rsidP="00460322">
            <w:pPr>
              <w:adjustRightInd w:val="0"/>
              <w:snapToGrid w:val="0"/>
              <w:spacing w:line="280" w:lineRule="exact"/>
              <w:rPr>
                <w:rFonts w:ascii="HG丸ｺﾞｼｯｸM-PRO" w:eastAsia="HG丸ｺﾞｼｯｸM-PRO" w:hAnsi="HG丸ｺﾞｼｯｸM-PRO"/>
                <w:b/>
                <w:sz w:val="24"/>
                <w:szCs w:val="20"/>
              </w:rPr>
            </w:pPr>
            <w:r w:rsidRPr="00317D9C">
              <w:rPr>
                <w:rFonts w:ascii="HG丸ｺﾞｼｯｸM-PRO" w:eastAsia="HG丸ｺﾞｼｯｸM-PRO" w:hAnsi="HG丸ｺﾞｼｯｸM-PRO" w:hint="eastAsia"/>
                <w:b/>
                <w:sz w:val="24"/>
                <w:szCs w:val="20"/>
              </w:rPr>
              <w:t>Ⅱ-4(1)</w:t>
            </w:r>
            <w:r w:rsidR="000F187A" w:rsidRPr="00317D9C">
              <w:rPr>
                <w:rFonts w:ascii="HG丸ｺﾞｼｯｸM-PRO" w:eastAsia="HG丸ｺﾞｼｯｸM-PRO" w:hAnsi="HG丸ｺﾞｼｯｸM-PRO" w:hint="eastAsia"/>
                <w:b/>
                <w:sz w:val="24"/>
                <w:szCs w:val="20"/>
              </w:rPr>
              <w:t xml:space="preserve">　健康で安心して暮らせる社会の構築</w:t>
            </w:r>
            <w:r w:rsidRPr="00317D9C">
              <w:rPr>
                <w:rFonts w:ascii="HG丸ｺﾞｼｯｸM-PRO" w:eastAsia="HG丸ｺﾞｼｯｸM-PRO" w:hAnsi="HG丸ｺﾞｼｯｸM-PRO" w:hint="eastAsia"/>
                <w:b/>
                <w:sz w:val="24"/>
                <w:szCs w:val="20"/>
              </w:rPr>
              <w:t>（良好な大気環境を確保するために）</w:t>
            </w:r>
          </w:p>
        </w:tc>
        <w:tc>
          <w:tcPr>
            <w:tcW w:w="1138" w:type="dxa"/>
            <w:tcBorders>
              <w:top w:val="single" w:sz="12" w:space="0" w:color="auto"/>
              <w:bottom w:val="single" w:sz="12" w:space="0" w:color="auto"/>
            </w:tcBorders>
            <w:shd w:val="clear" w:color="auto" w:fill="FFFF00"/>
          </w:tcPr>
          <w:p w:rsidR="00AB4937" w:rsidRPr="00317D9C"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317D9C">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317D9C" w:rsidRDefault="009D33A5" w:rsidP="00460322">
            <w:pPr>
              <w:adjustRightInd w:val="0"/>
              <w:snapToGrid w:val="0"/>
              <w:spacing w:line="280" w:lineRule="exact"/>
              <w:rPr>
                <w:rFonts w:ascii="HG丸ｺﾞｼｯｸM-PRO" w:eastAsia="HG丸ｺﾞｼｯｸM-PRO" w:hAnsi="HG丸ｺﾞｼｯｸM-PRO"/>
                <w:b/>
                <w:sz w:val="24"/>
                <w:szCs w:val="20"/>
              </w:rPr>
            </w:pPr>
            <w:r w:rsidRPr="00317D9C">
              <w:rPr>
                <w:rFonts w:ascii="HG丸ｺﾞｼｯｸM-PRO" w:eastAsia="HG丸ｺﾞｼｯｸM-PRO" w:hAnsi="HG丸ｺﾞｼｯｸM-PRO" w:hint="eastAsia"/>
                <w:b/>
                <w:sz w:val="24"/>
                <w:szCs w:val="20"/>
              </w:rPr>
              <w:t>21</w:t>
            </w:r>
          </w:p>
        </w:tc>
        <w:tc>
          <w:tcPr>
            <w:tcW w:w="993" w:type="dxa"/>
            <w:tcBorders>
              <w:top w:val="single" w:sz="12" w:space="0" w:color="auto"/>
              <w:bottom w:val="single" w:sz="12" w:space="0" w:color="auto"/>
            </w:tcBorders>
            <w:shd w:val="clear" w:color="auto" w:fill="FFFF00"/>
          </w:tcPr>
          <w:p w:rsidR="00AB4937" w:rsidRPr="00317D9C"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317D9C">
              <w:rPr>
                <w:rFonts w:ascii="HG丸ｺﾞｼｯｸM-PRO" w:eastAsia="HG丸ｺﾞｼｯｸM-PRO" w:hAnsi="HG丸ｺﾞｼｯｸM-PRO" w:hint="eastAsia"/>
                <w:sz w:val="24"/>
                <w:szCs w:val="20"/>
              </w:rPr>
              <w:t>施策名</w:t>
            </w:r>
          </w:p>
        </w:tc>
        <w:tc>
          <w:tcPr>
            <w:tcW w:w="5099" w:type="dxa"/>
            <w:tcBorders>
              <w:top w:val="single" w:sz="12" w:space="0" w:color="auto"/>
              <w:bottom w:val="single" w:sz="12" w:space="0" w:color="auto"/>
              <w:right w:val="single" w:sz="12" w:space="0" w:color="auto"/>
            </w:tcBorders>
          </w:tcPr>
          <w:p w:rsidR="00AB4937" w:rsidRPr="00317D9C" w:rsidRDefault="000F187A" w:rsidP="00460322">
            <w:pPr>
              <w:adjustRightInd w:val="0"/>
              <w:snapToGrid w:val="0"/>
              <w:spacing w:line="280" w:lineRule="exact"/>
              <w:rPr>
                <w:rFonts w:ascii="HG丸ｺﾞｼｯｸM-PRO" w:eastAsia="HG丸ｺﾞｼｯｸM-PRO" w:hAnsi="HG丸ｺﾞｼｯｸM-PRO"/>
                <w:b/>
                <w:sz w:val="24"/>
                <w:szCs w:val="20"/>
              </w:rPr>
            </w:pPr>
            <w:r w:rsidRPr="00317D9C">
              <w:rPr>
                <w:rFonts w:ascii="HG丸ｺﾞｼｯｸM-PRO" w:eastAsia="HG丸ｺﾞｼｯｸM-PRO" w:hAnsi="HG丸ｺﾞｼｯｸM-PRO" w:hint="eastAsia"/>
                <w:b/>
                <w:sz w:val="24"/>
                <w:szCs w:val="20"/>
              </w:rPr>
              <w:t>PM2.5</w:t>
            </w:r>
            <w:r w:rsidR="0055001A" w:rsidRPr="00317D9C">
              <w:rPr>
                <w:rFonts w:ascii="HG丸ｺﾞｼｯｸM-PRO" w:eastAsia="HG丸ｺﾞｼｯｸM-PRO" w:hAnsi="HG丸ｺﾞｼｯｸM-PRO" w:hint="eastAsia"/>
                <w:b/>
                <w:sz w:val="24"/>
                <w:szCs w:val="20"/>
              </w:rPr>
              <w:t>（微小粒子状物質）</w:t>
            </w:r>
            <w:r w:rsidRPr="00317D9C">
              <w:rPr>
                <w:rFonts w:ascii="HG丸ｺﾞｼｯｸM-PRO" w:eastAsia="HG丸ｺﾞｼｯｸM-PRO" w:hAnsi="HG丸ｺﾞｼｯｸM-PRO" w:hint="eastAsia"/>
                <w:b/>
                <w:sz w:val="24"/>
                <w:szCs w:val="20"/>
              </w:rPr>
              <w:t>対策の推進</w:t>
            </w:r>
          </w:p>
        </w:tc>
      </w:tr>
    </w:tbl>
    <w:p w:rsidR="00AB4937" w:rsidRPr="00317D9C"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4"/>
        <w:gridCol w:w="171"/>
        <w:gridCol w:w="1025"/>
        <w:gridCol w:w="238"/>
        <w:gridCol w:w="122"/>
        <w:gridCol w:w="907"/>
        <w:gridCol w:w="247"/>
        <w:gridCol w:w="148"/>
        <w:gridCol w:w="1553"/>
        <w:gridCol w:w="2751"/>
        <w:gridCol w:w="4761"/>
      </w:tblGrid>
      <w:tr w:rsidR="00317D9C" w:rsidRPr="00317D9C" w:rsidTr="00636DFB">
        <w:tc>
          <w:tcPr>
            <w:tcW w:w="1985" w:type="dxa"/>
            <w:shd w:val="clear" w:color="auto" w:fill="FFFF00"/>
          </w:tcPr>
          <w:p w:rsidR="00636DFB" w:rsidRPr="00317D9C" w:rsidRDefault="00636DFB" w:rsidP="00460322">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目的、内容</w:t>
            </w:r>
          </w:p>
        </w:tc>
        <w:tc>
          <w:tcPr>
            <w:tcW w:w="12757" w:type="dxa"/>
            <w:gridSpan w:val="11"/>
            <w:shd w:val="clear" w:color="auto" w:fill="auto"/>
          </w:tcPr>
          <w:p w:rsidR="00636DFB" w:rsidRPr="00317D9C" w:rsidRDefault="00636DFB" w:rsidP="00460322">
            <w:pPr>
              <w:adjustRightInd w:val="0"/>
              <w:snapToGrid w:val="0"/>
              <w:spacing w:line="280" w:lineRule="exact"/>
              <w:rPr>
                <w:rFonts w:ascii="HG丸ｺﾞｼｯｸM-PRO" w:eastAsia="HG丸ｺﾞｼｯｸM-PRO" w:hAnsi="HG丸ｺﾞｼｯｸM-PRO"/>
                <w:sz w:val="20"/>
                <w:szCs w:val="20"/>
              </w:rPr>
            </w:pPr>
            <w:bookmarkStart w:id="0" w:name="_GoBack"/>
            <w:bookmarkEnd w:id="0"/>
            <w:r w:rsidRPr="00317D9C">
              <w:rPr>
                <w:rFonts w:ascii="HG丸ｺﾞｼｯｸM-PRO" w:eastAsia="HG丸ｺﾞｼｯｸM-PRO" w:hAnsi="HG丸ｺﾞｼｯｸM-PRO" w:hint="eastAsia"/>
                <w:sz w:val="20"/>
                <w:szCs w:val="20"/>
              </w:rPr>
              <w:t>環境モニタリングとして濃度測定や成分分析を行うため、自動測定機を配備するなど測定体制を整備</w:t>
            </w:r>
          </w:p>
          <w:p w:rsidR="00636DFB" w:rsidRPr="00317D9C" w:rsidRDefault="00636DFB" w:rsidP="00CC397E">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モニタリング結果を用いて発生機構を把握し、効果的な対策を検討・実施</w:t>
            </w:r>
          </w:p>
          <w:p w:rsidR="00636DFB" w:rsidRPr="00317D9C" w:rsidRDefault="00636DFB" w:rsidP="00A8464E">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2020年目標：</w:t>
            </w:r>
            <w:r w:rsidRPr="00317D9C">
              <w:rPr>
                <w:rFonts w:ascii="HG丸ｺﾞｼｯｸM-PRO" w:eastAsia="HG丸ｺﾞｼｯｸM-PRO" w:hAnsi="HG丸ｺﾞｼｯｸM-PRO"/>
                <w:sz w:val="20"/>
                <w:szCs w:val="20"/>
              </w:rPr>
              <w:t xml:space="preserve"> PM2.5</w:t>
            </w:r>
            <w:r w:rsidRPr="00317D9C">
              <w:rPr>
                <w:rFonts w:ascii="HG丸ｺﾞｼｯｸM-PRO" w:eastAsia="HG丸ｺﾞｼｯｸM-PRO" w:hAnsi="HG丸ｺﾞｼｯｸM-PRO" w:hint="eastAsia"/>
                <w:sz w:val="20"/>
                <w:szCs w:val="20"/>
              </w:rPr>
              <w:t>の環境保全目標の達成</w:t>
            </w:r>
          </w:p>
        </w:tc>
      </w:tr>
      <w:tr w:rsidR="00317D9C" w:rsidRPr="00317D9C" w:rsidTr="00636DFB">
        <w:tc>
          <w:tcPr>
            <w:tcW w:w="1985" w:type="dxa"/>
            <w:shd w:val="clear" w:color="auto" w:fill="FFFF00"/>
          </w:tcPr>
          <w:p w:rsidR="00636DFB" w:rsidRPr="00317D9C" w:rsidRDefault="00636DFB" w:rsidP="00460322">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副次的効果、外部効果等</w:t>
            </w:r>
          </w:p>
        </w:tc>
        <w:tc>
          <w:tcPr>
            <w:tcW w:w="12757" w:type="dxa"/>
            <w:gridSpan w:val="11"/>
            <w:shd w:val="clear" w:color="auto" w:fill="auto"/>
          </w:tcPr>
          <w:p w:rsidR="00636DFB" w:rsidRPr="00317D9C" w:rsidRDefault="00636DFB" w:rsidP="00460322">
            <w:pPr>
              <w:adjustRightInd w:val="0"/>
              <w:snapToGrid w:val="0"/>
              <w:spacing w:line="280" w:lineRule="exact"/>
              <w:rPr>
                <w:rFonts w:ascii="HG丸ｺﾞｼｯｸM-PRO" w:eastAsia="HG丸ｺﾞｼｯｸM-PRO" w:hAnsi="HG丸ｺﾞｼｯｸM-PRO"/>
                <w:sz w:val="20"/>
                <w:szCs w:val="20"/>
              </w:rPr>
            </w:pPr>
          </w:p>
        </w:tc>
      </w:tr>
      <w:tr w:rsidR="00317D9C" w:rsidRPr="00317D9C" w:rsidTr="00636DFB">
        <w:tc>
          <w:tcPr>
            <w:tcW w:w="1985" w:type="dxa"/>
            <w:shd w:val="clear" w:color="auto" w:fill="FFFF00"/>
          </w:tcPr>
          <w:p w:rsidR="00636DFB" w:rsidRPr="00317D9C" w:rsidRDefault="00636DFB" w:rsidP="00460322">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関係法令、行政計画等</w:t>
            </w:r>
          </w:p>
        </w:tc>
        <w:tc>
          <w:tcPr>
            <w:tcW w:w="12757" w:type="dxa"/>
            <w:gridSpan w:val="11"/>
            <w:shd w:val="clear" w:color="auto" w:fill="auto"/>
          </w:tcPr>
          <w:p w:rsidR="00636DFB" w:rsidRPr="00317D9C" w:rsidRDefault="00636DFB" w:rsidP="009B734C">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大気汚染防止法、府生活環境の保全等に関する条例：固定発生源のばい煙等、VOCの排出規制、流入車規制（条例）</w:t>
            </w:r>
          </w:p>
          <w:p w:rsidR="00636DFB" w:rsidRPr="00317D9C" w:rsidRDefault="00636DFB" w:rsidP="009B734C">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第9次大阪地域公害防止計画</w:t>
            </w:r>
          </w:p>
          <w:p w:rsidR="00636DFB" w:rsidRPr="00317D9C" w:rsidRDefault="00636DFB" w:rsidP="009B734C">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大阪府化学物質適正管理指針：VOC排出抑制</w:t>
            </w:r>
          </w:p>
          <w:p w:rsidR="00636DFB" w:rsidRPr="00317D9C" w:rsidRDefault="00636DFB" w:rsidP="00CC397E">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自動車NOx・PM法</w:t>
            </w:r>
          </w:p>
          <w:p w:rsidR="00636DFB" w:rsidRPr="00317D9C" w:rsidRDefault="00636DFB" w:rsidP="00CC397E">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府自動車NOx・PM総量削減計画（2013年度～）</w:t>
            </w:r>
          </w:p>
        </w:tc>
      </w:tr>
      <w:tr w:rsidR="00317D9C" w:rsidRPr="00317D9C" w:rsidTr="00636DFB">
        <w:tc>
          <w:tcPr>
            <w:tcW w:w="1985" w:type="dxa"/>
            <w:shd w:val="clear" w:color="auto" w:fill="FFFF00"/>
          </w:tcPr>
          <w:p w:rsidR="00636DFB" w:rsidRPr="00317D9C" w:rsidRDefault="00636DFB" w:rsidP="00460322">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国等の政策、社会情勢等</w:t>
            </w:r>
          </w:p>
        </w:tc>
        <w:tc>
          <w:tcPr>
            <w:tcW w:w="12757" w:type="dxa"/>
            <w:gridSpan w:val="11"/>
            <w:shd w:val="clear" w:color="auto" w:fill="auto"/>
          </w:tcPr>
          <w:p w:rsidR="00636DFB" w:rsidRPr="00317D9C" w:rsidRDefault="00636DFB" w:rsidP="007F63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2013年、中国においてPM2.5 による深刻な大気汚染問題があることが確認され、日本でも一時的にPM2.5濃度の上昇を観測</w:t>
            </w:r>
          </w:p>
          <w:p w:rsidR="00636DFB" w:rsidRPr="00317D9C" w:rsidRDefault="00636DFB" w:rsidP="007F63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同年2月「注意喚起のための暫定的な指針」（同年11月　運用の一部見直し）</w:t>
            </w:r>
          </w:p>
          <w:p w:rsidR="00636DFB" w:rsidRPr="00317D9C" w:rsidRDefault="00636DFB" w:rsidP="007F63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同年12月 国は「PM2.5に関する総合的な取組（政策パッケージ）」を公表　中央環境審議会専門委員会において発生抑制策のあり方を検討</w:t>
            </w:r>
          </w:p>
          <w:p w:rsidR="00636DFB" w:rsidRPr="00317D9C" w:rsidRDefault="00636DFB" w:rsidP="007F63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2015年3月　中央環境審議会専門委員会が「微小粒子状物質の国内における排出抑制制度の在り方について 中間とりまとめ」を公表</w:t>
            </w:r>
          </w:p>
          <w:p w:rsidR="00636DFB" w:rsidRPr="00317D9C" w:rsidRDefault="00636DFB" w:rsidP="007F63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⇒現在、国においてPM2.5の健康影響に関する科学的な解明、生成メカニズムや発生源別の寄与割合の解明、</w:t>
            </w:r>
            <w:r w:rsidR="00535D11" w:rsidRPr="00317D9C">
              <w:rPr>
                <w:rFonts w:ascii="HG丸ｺﾞｼｯｸM-PRO" w:eastAsia="HG丸ｺﾞｼｯｸM-PRO" w:hAnsi="HG丸ｺﾞｼｯｸM-PRO" w:hint="eastAsia"/>
                <w:sz w:val="20"/>
                <w:szCs w:val="20"/>
              </w:rPr>
              <w:t>VOCの文献調査、</w:t>
            </w:r>
            <w:r w:rsidRPr="00317D9C">
              <w:rPr>
                <w:rFonts w:ascii="HG丸ｺﾞｼｯｸM-PRO" w:eastAsia="HG丸ｺﾞｼｯｸM-PRO" w:hAnsi="HG丸ｺﾞｼｯｸM-PRO" w:hint="eastAsia"/>
                <w:sz w:val="20"/>
                <w:szCs w:val="20"/>
              </w:rPr>
              <w:t>ばいじん等の追加的な排出抑制対策の検討などを継続して実施中</w:t>
            </w:r>
          </w:p>
        </w:tc>
      </w:tr>
      <w:tr w:rsidR="00003A52" w:rsidRPr="00317D9C" w:rsidTr="00636DFB">
        <w:trPr>
          <w:trHeight w:val="70"/>
        </w:trPr>
        <w:tc>
          <w:tcPr>
            <w:tcW w:w="1985" w:type="dxa"/>
            <w:vMerge w:val="restart"/>
            <w:shd w:val="clear" w:color="auto" w:fill="FFFF00"/>
          </w:tcPr>
          <w:p w:rsidR="00003A52" w:rsidRPr="00317D9C" w:rsidRDefault="00003A52" w:rsidP="00745EE5">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（参考）</w:t>
            </w:r>
          </w:p>
          <w:p w:rsidR="00003A52" w:rsidRPr="00317D9C" w:rsidRDefault="00003A52" w:rsidP="00745EE5">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講じた施策に記載した施策事業コスト</w:t>
            </w:r>
          </w:p>
        </w:tc>
        <w:tc>
          <w:tcPr>
            <w:tcW w:w="3692" w:type="dxa"/>
            <w:gridSpan w:val="8"/>
            <w:shd w:val="clear" w:color="auto" w:fill="FFFF00"/>
          </w:tcPr>
          <w:p w:rsidR="00003A52" w:rsidRPr="00317D9C" w:rsidRDefault="00003A52" w:rsidP="00FF462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2014年度（決算額）（千円）</w:t>
            </w:r>
          </w:p>
        </w:tc>
        <w:tc>
          <w:tcPr>
            <w:tcW w:w="4304" w:type="dxa"/>
            <w:gridSpan w:val="2"/>
            <w:shd w:val="clear" w:color="auto" w:fill="FFFF00"/>
          </w:tcPr>
          <w:p w:rsidR="00003A52" w:rsidRPr="00317D9C" w:rsidRDefault="00003A52" w:rsidP="00FF462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2015年度（決算額）（千円）</w:t>
            </w:r>
          </w:p>
        </w:tc>
        <w:tc>
          <w:tcPr>
            <w:tcW w:w="4761" w:type="dxa"/>
            <w:shd w:val="clear" w:color="auto" w:fill="FFFF00"/>
          </w:tcPr>
          <w:p w:rsidR="00003A52" w:rsidRPr="00317D9C" w:rsidRDefault="00003A52" w:rsidP="00FF462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2016年度（決算見込額）（千円）</w:t>
            </w:r>
          </w:p>
        </w:tc>
      </w:tr>
      <w:tr w:rsidR="00003A52" w:rsidRPr="00317D9C" w:rsidTr="00003A52">
        <w:trPr>
          <w:trHeight w:val="615"/>
        </w:trPr>
        <w:tc>
          <w:tcPr>
            <w:tcW w:w="1985" w:type="dxa"/>
            <w:vMerge/>
            <w:shd w:val="clear" w:color="auto" w:fill="FFFF00"/>
          </w:tcPr>
          <w:p w:rsidR="00003A52" w:rsidRPr="00317D9C" w:rsidRDefault="00003A52" w:rsidP="00745EE5">
            <w:pPr>
              <w:adjustRightInd w:val="0"/>
              <w:snapToGrid w:val="0"/>
              <w:spacing w:line="280" w:lineRule="exact"/>
              <w:rPr>
                <w:rFonts w:ascii="HG丸ｺﾞｼｯｸM-PRO" w:eastAsia="HG丸ｺﾞｼｯｸM-PRO" w:hAnsi="HG丸ｺﾞｼｯｸM-PRO"/>
                <w:sz w:val="20"/>
                <w:szCs w:val="20"/>
              </w:rPr>
            </w:pPr>
          </w:p>
        </w:tc>
        <w:tc>
          <w:tcPr>
            <w:tcW w:w="3692" w:type="dxa"/>
            <w:gridSpan w:val="8"/>
            <w:tcBorders>
              <w:bottom w:val="single" w:sz="4" w:space="0" w:color="auto"/>
              <w:right w:val="single" w:sz="4" w:space="0" w:color="auto"/>
            </w:tcBorders>
            <w:shd w:val="clear" w:color="auto" w:fill="auto"/>
            <w:vAlign w:val="center"/>
          </w:tcPr>
          <w:p w:rsidR="00003A52" w:rsidRPr="00317D9C" w:rsidRDefault="00003A52" w:rsidP="00745EE5">
            <w:pPr>
              <w:adjustRightInd w:val="0"/>
              <w:snapToGrid w:val="0"/>
              <w:jc w:val="right"/>
              <w:rPr>
                <w:rFonts w:ascii="HG丸ｺﾞｼｯｸM-PRO" w:eastAsia="HG丸ｺﾞｼｯｸM-PRO" w:hAnsi="HG丸ｺﾞｼｯｸM-PRO" w:cs="ＭＳ Ｐゴシック"/>
                <w:sz w:val="20"/>
                <w:szCs w:val="20"/>
              </w:rPr>
            </w:pPr>
            <w:r w:rsidRPr="00317D9C">
              <w:rPr>
                <w:rFonts w:ascii="HG丸ｺﾞｼｯｸM-PRO" w:eastAsia="HG丸ｺﾞｼｯｸM-PRO" w:hAnsi="HG丸ｺﾞｼｯｸM-PRO" w:cs="ＭＳ Ｐゴシック" w:hint="eastAsia"/>
                <w:sz w:val="20"/>
                <w:szCs w:val="20"/>
              </w:rPr>
              <w:t>25,384</w:t>
            </w:r>
          </w:p>
        </w:tc>
        <w:tc>
          <w:tcPr>
            <w:tcW w:w="4304" w:type="dxa"/>
            <w:gridSpan w:val="2"/>
            <w:tcBorders>
              <w:left w:val="single" w:sz="4" w:space="0" w:color="auto"/>
              <w:bottom w:val="single" w:sz="4" w:space="0" w:color="auto"/>
              <w:right w:val="single" w:sz="4" w:space="0" w:color="auto"/>
            </w:tcBorders>
            <w:shd w:val="clear" w:color="auto" w:fill="auto"/>
            <w:vAlign w:val="center"/>
          </w:tcPr>
          <w:p w:rsidR="00003A52" w:rsidRPr="00317D9C" w:rsidRDefault="00003A52" w:rsidP="00745EE5">
            <w:pPr>
              <w:adjustRightInd w:val="0"/>
              <w:snapToGrid w:val="0"/>
              <w:jc w:val="right"/>
              <w:rPr>
                <w:rFonts w:ascii="HG丸ｺﾞｼｯｸM-PRO" w:eastAsia="HG丸ｺﾞｼｯｸM-PRO" w:hAnsi="HG丸ｺﾞｼｯｸM-PRO" w:cs="ＭＳ Ｐゴシック"/>
                <w:sz w:val="20"/>
                <w:szCs w:val="20"/>
              </w:rPr>
            </w:pPr>
            <w:r w:rsidRPr="00317D9C">
              <w:rPr>
                <w:rFonts w:ascii="HG丸ｺﾞｼｯｸM-PRO" w:eastAsia="HG丸ｺﾞｼｯｸM-PRO" w:hAnsi="HG丸ｺﾞｼｯｸM-PRO" w:cs="ＭＳ Ｐゴシック" w:hint="eastAsia"/>
                <w:sz w:val="20"/>
                <w:szCs w:val="20"/>
              </w:rPr>
              <w:t>19,680</w:t>
            </w:r>
          </w:p>
        </w:tc>
        <w:tc>
          <w:tcPr>
            <w:tcW w:w="4761" w:type="dxa"/>
            <w:tcBorders>
              <w:left w:val="single" w:sz="4" w:space="0" w:color="auto"/>
              <w:bottom w:val="single" w:sz="4" w:space="0" w:color="auto"/>
            </w:tcBorders>
            <w:shd w:val="clear" w:color="auto" w:fill="auto"/>
            <w:vAlign w:val="center"/>
          </w:tcPr>
          <w:p w:rsidR="00003A52" w:rsidRPr="00317D9C" w:rsidRDefault="00003A52" w:rsidP="00210FC5">
            <w:pPr>
              <w:adjustRightInd w:val="0"/>
              <w:snapToGrid w:val="0"/>
              <w:jc w:val="right"/>
              <w:rPr>
                <w:rFonts w:ascii="HG丸ｺﾞｼｯｸM-PRO" w:eastAsia="HG丸ｺﾞｼｯｸM-PRO" w:hAnsi="HG丸ｺﾞｼｯｸM-PRO" w:cs="ＭＳ Ｐゴシック"/>
                <w:sz w:val="20"/>
                <w:szCs w:val="20"/>
              </w:rPr>
            </w:pPr>
            <w:r w:rsidRPr="00317D9C">
              <w:rPr>
                <w:rFonts w:ascii="HG丸ｺﾞｼｯｸM-PRO" w:eastAsia="HG丸ｺﾞｼｯｸM-PRO" w:hAnsi="HG丸ｺﾞｼｯｸM-PRO" w:cs="ＭＳ Ｐゴシック" w:hint="eastAsia"/>
                <w:sz w:val="20"/>
                <w:szCs w:val="20"/>
              </w:rPr>
              <w:t>11,77</w:t>
            </w:r>
            <w:r w:rsidR="00210FC5">
              <w:rPr>
                <w:rFonts w:ascii="HG丸ｺﾞｼｯｸM-PRO" w:eastAsia="HG丸ｺﾞｼｯｸM-PRO" w:hAnsi="HG丸ｺﾞｼｯｸM-PRO" w:cs="ＭＳ Ｐゴシック" w:hint="eastAsia"/>
                <w:sz w:val="20"/>
                <w:szCs w:val="20"/>
              </w:rPr>
              <w:t>2</w:t>
            </w:r>
          </w:p>
        </w:tc>
      </w:tr>
      <w:tr w:rsidR="00003A52" w:rsidRPr="00317D9C" w:rsidTr="005036A2">
        <w:trPr>
          <w:trHeight w:val="210"/>
        </w:trPr>
        <w:tc>
          <w:tcPr>
            <w:tcW w:w="1985" w:type="dxa"/>
            <w:vMerge/>
            <w:shd w:val="clear" w:color="auto" w:fill="FFFF00"/>
          </w:tcPr>
          <w:p w:rsidR="00003A52" w:rsidRPr="00317D9C" w:rsidRDefault="00003A52" w:rsidP="00745EE5">
            <w:pPr>
              <w:adjustRightInd w:val="0"/>
              <w:snapToGrid w:val="0"/>
              <w:spacing w:line="280" w:lineRule="exact"/>
              <w:rPr>
                <w:rFonts w:ascii="HG丸ｺﾞｼｯｸM-PRO" w:eastAsia="HG丸ｺﾞｼｯｸM-PRO" w:hAnsi="HG丸ｺﾞｼｯｸM-PRO"/>
                <w:sz w:val="20"/>
                <w:szCs w:val="20"/>
              </w:rPr>
            </w:pPr>
          </w:p>
        </w:tc>
        <w:tc>
          <w:tcPr>
            <w:tcW w:w="12757" w:type="dxa"/>
            <w:gridSpan w:val="11"/>
            <w:tcBorders>
              <w:bottom w:val="single" w:sz="4" w:space="0" w:color="auto"/>
            </w:tcBorders>
            <w:shd w:val="clear" w:color="auto" w:fill="auto"/>
          </w:tcPr>
          <w:p w:rsidR="00003A52" w:rsidRPr="00003A52" w:rsidRDefault="00003A52" w:rsidP="0093629C">
            <w:pPr>
              <w:adjustRightInd w:val="0"/>
              <w:snapToGrid w:val="0"/>
              <w:spacing w:line="280" w:lineRule="exact"/>
              <w:ind w:left="200" w:hangingChars="100" w:hanging="200"/>
              <w:rPr>
                <w:rFonts w:ascii="HG丸ｺﾞｼｯｸM-PRO" w:eastAsia="HG丸ｺﾞｼｯｸM-PRO" w:hAnsi="HG丸ｺﾞｼｯｸM-PRO"/>
                <w:sz w:val="20"/>
                <w:szCs w:val="20"/>
              </w:rPr>
            </w:pPr>
            <w:r w:rsidRPr="00003A52">
              <w:rPr>
                <w:rFonts w:ascii="HG丸ｺﾞｼｯｸM-PRO" w:eastAsia="HG丸ｺﾞｼｯｸM-PRO" w:hAnsi="HG丸ｺﾞｼｯｸM-PRO" w:hint="eastAsia"/>
                <w:sz w:val="20"/>
                <w:szCs w:val="20"/>
              </w:rPr>
              <w:t>※各年度で「講じた施策」への掲載事業が異なることから、新規事業の有無等に関わらず、年度間でコストの増減がある。</w:t>
            </w:r>
          </w:p>
        </w:tc>
      </w:tr>
      <w:tr w:rsidR="00003A52" w:rsidRPr="00317D9C" w:rsidTr="00636DFB">
        <w:trPr>
          <w:trHeight w:val="210"/>
        </w:trPr>
        <w:tc>
          <w:tcPr>
            <w:tcW w:w="1985" w:type="dxa"/>
            <w:vMerge w:val="restart"/>
            <w:shd w:val="clear" w:color="auto" w:fill="FFFF00"/>
          </w:tcPr>
          <w:p w:rsidR="00003A52" w:rsidRPr="00317D9C" w:rsidRDefault="00003A52" w:rsidP="00290CE6">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取組指標及び実績</w:t>
            </w:r>
          </w:p>
          <w:p w:rsidR="00003A52" w:rsidRPr="00317D9C" w:rsidRDefault="00003A52" w:rsidP="00290CE6">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（施策効果の定量評価）</w:t>
            </w:r>
          </w:p>
        </w:tc>
        <w:tc>
          <w:tcPr>
            <w:tcW w:w="834" w:type="dxa"/>
            <w:shd w:val="clear" w:color="auto" w:fill="FFFF00"/>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196" w:type="dxa"/>
            <w:gridSpan w:val="2"/>
            <w:shd w:val="clear" w:color="auto" w:fill="FFFF00"/>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名称</w:t>
            </w:r>
          </w:p>
        </w:tc>
        <w:tc>
          <w:tcPr>
            <w:tcW w:w="1267" w:type="dxa"/>
            <w:gridSpan w:val="3"/>
            <w:shd w:val="clear" w:color="auto" w:fill="FFFF00"/>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把握方法</w:t>
            </w:r>
          </w:p>
        </w:tc>
        <w:tc>
          <w:tcPr>
            <w:tcW w:w="9460" w:type="dxa"/>
            <w:gridSpan w:val="5"/>
            <w:shd w:val="clear" w:color="auto" w:fill="FFFF00"/>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実績</w:t>
            </w:r>
          </w:p>
        </w:tc>
      </w:tr>
      <w:tr w:rsidR="00003A52" w:rsidRPr="00317D9C" w:rsidTr="00636DFB">
        <w:trPr>
          <w:trHeight w:val="133"/>
        </w:trPr>
        <w:tc>
          <w:tcPr>
            <w:tcW w:w="1985" w:type="dxa"/>
            <w:vMerge/>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shd w:val="clear" w:color="auto" w:fill="auto"/>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①</w:t>
            </w:r>
          </w:p>
        </w:tc>
        <w:tc>
          <w:tcPr>
            <w:tcW w:w="1196" w:type="dxa"/>
            <w:gridSpan w:val="2"/>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PM2.5の年平均濃度の推移</w:t>
            </w:r>
          </w:p>
        </w:tc>
        <w:tc>
          <w:tcPr>
            <w:tcW w:w="1267" w:type="dxa"/>
            <w:gridSpan w:val="3"/>
            <w:shd w:val="clear" w:color="auto" w:fill="auto"/>
          </w:tcPr>
          <w:p w:rsidR="00003A52" w:rsidRPr="00317D9C" w:rsidRDefault="00003A52" w:rsidP="00416D7E">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大気汚染常時監視結果の報道提供資料</w:t>
            </w:r>
          </w:p>
        </w:tc>
        <w:tc>
          <w:tcPr>
            <w:tcW w:w="9460" w:type="dxa"/>
            <w:gridSpan w:val="5"/>
            <w:shd w:val="clear" w:color="auto" w:fill="auto"/>
          </w:tcPr>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一般局：14.9μg/m3（2014年度）、13.8（2015年度）、12.</w:t>
            </w:r>
            <w:r w:rsidR="00F34B9F">
              <w:rPr>
                <w:rFonts w:ascii="HG丸ｺﾞｼｯｸM-PRO" w:eastAsia="HG丸ｺﾞｼｯｸM-PRO" w:hAnsi="HG丸ｺﾞｼｯｸM-PRO" w:hint="eastAsia"/>
                <w:sz w:val="20"/>
                <w:szCs w:val="20"/>
              </w:rPr>
              <w:t>6</w:t>
            </w:r>
            <w:r w:rsidRPr="00317D9C">
              <w:rPr>
                <w:rFonts w:ascii="HG丸ｺﾞｼｯｸM-PRO" w:eastAsia="HG丸ｺﾞｼｯｸM-PRO" w:hAnsi="HG丸ｺﾞｼｯｸM-PRO" w:hint="eastAsia"/>
                <w:sz w:val="20"/>
                <w:szCs w:val="20"/>
              </w:rPr>
              <w:t>（2016年度）</w:t>
            </w:r>
          </w:p>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自排局：16.3μg/m3（2014年度）、14.6（2015年度）、13.5（2016年度）</w:t>
            </w:r>
          </w:p>
        </w:tc>
      </w:tr>
      <w:tr w:rsidR="00003A52" w:rsidRPr="00317D9C" w:rsidTr="00636DFB">
        <w:trPr>
          <w:trHeight w:val="127"/>
        </w:trPr>
        <w:tc>
          <w:tcPr>
            <w:tcW w:w="1985" w:type="dxa"/>
            <w:vMerge/>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shd w:val="clear" w:color="auto" w:fill="auto"/>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②</w:t>
            </w:r>
          </w:p>
        </w:tc>
        <w:tc>
          <w:tcPr>
            <w:tcW w:w="1196" w:type="dxa"/>
            <w:gridSpan w:val="2"/>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PM2.5の環境基準達成局数</w:t>
            </w:r>
          </w:p>
        </w:tc>
        <w:tc>
          <w:tcPr>
            <w:tcW w:w="1267" w:type="dxa"/>
            <w:gridSpan w:val="3"/>
            <w:shd w:val="clear" w:color="auto" w:fill="auto"/>
          </w:tcPr>
          <w:p w:rsidR="00003A52" w:rsidRPr="00317D9C" w:rsidRDefault="00003A52" w:rsidP="009B734C">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府環境白書のデータ</w:t>
            </w:r>
          </w:p>
        </w:tc>
        <w:tc>
          <w:tcPr>
            <w:tcW w:w="9460" w:type="dxa"/>
            <w:gridSpan w:val="5"/>
            <w:shd w:val="clear" w:color="auto" w:fill="auto"/>
          </w:tcPr>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一般局：32局中15（2014年度）、38局中15（2015年度）、38局中35（2016年度）</w:t>
            </w:r>
          </w:p>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自排局：15局中 2（2014年度）、17局中 4（2015年度）、17局中15（2016年度）</w:t>
            </w:r>
          </w:p>
        </w:tc>
      </w:tr>
      <w:tr w:rsidR="00003A52" w:rsidRPr="00317D9C" w:rsidTr="00636DFB">
        <w:trPr>
          <w:trHeight w:val="70"/>
        </w:trPr>
        <w:tc>
          <w:tcPr>
            <w:tcW w:w="1985" w:type="dxa"/>
            <w:vMerge/>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12757" w:type="dxa"/>
            <w:gridSpan w:val="11"/>
            <w:shd w:val="clear" w:color="auto" w:fill="auto"/>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003A52" w:rsidRPr="00317D9C" w:rsidTr="00636DFB">
        <w:trPr>
          <w:trHeight w:val="240"/>
        </w:trPr>
        <w:tc>
          <w:tcPr>
            <w:tcW w:w="1985" w:type="dxa"/>
            <w:tcBorders>
              <w:bottom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w w:val="90"/>
                <w:sz w:val="20"/>
                <w:szCs w:val="20"/>
              </w:rPr>
            </w:pPr>
            <w:r w:rsidRPr="00317D9C">
              <w:rPr>
                <w:rFonts w:ascii="HG丸ｺﾞｼｯｸM-PRO" w:eastAsia="HG丸ｺﾞｼｯｸM-PRO" w:hAnsi="HG丸ｺﾞｼｯｸM-PRO" w:hint="eastAsia"/>
                <w:b/>
                <w:w w:val="90"/>
                <w:sz w:val="20"/>
                <w:szCs w:val="20"/>
              </w:rPr>
              <w:t>工程表の進捗状況</w:t>
            </w:r>
          </w:p>
        </w:tc>
        <w:tc>
          <w:tcPr>
            <w:tcW w:w="2268" w:type="dxa"/>
            <w:gridSpan w:val="4"/>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工程名</w:t>
            </w:r>
          </w:p>
        </w:tc>
        <w:tc>
          <w:tcPr>
            <w:tcW w:w="1276" w:type="dxa"/>
            <w:gridSpan w:val="3"/>
            <w:shd w:val="clear" w:color="auto" w:fill="FFFF00"/>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進捗状況</w:t>
            </w:r>
            <w:r w:rsidRPr="00317D9C">
              <w:rPr>
                <w:rFonts w:ascii="HG丸ｺﾞｼｯｸM-PRO" w:eastAsia="HG丸ｺﾞｼｯｸM-PRO" w:hAnsi="HG丸ｺﾞｼｯｸM-PRO" w:hint="eastAsia"/>
                <w:sz w:val="20"/>
                <w:szCs w:val="20"/>
                <w:vertAlign w:val="superscript"/>
              </w:rPr>
              <w:t>※</w:t>
            </w:r>
          </w:p>
        </w:tc>
        <w:tc>
          <w:tcPr>
            <w:tcW w:w="1701" w:type="dxa"/>
            <w:gridSpan w:val="2"/>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主な事業の名称</w:t>
            </w:r>
          </w:p>
        </w:tc>
        <w:tc>
          <w:tcPr>
            <w:tcW w:w="7512" w:type="dxa"/>
            <w:gridSpan w:val="2"/>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事業の実施状況</w:t>
            </w:r>
          </w:p>
        </w:tc>
      </w:tr>
      <w:tr w:rsidR="00003A52" w:rsidRPr="00317D9C" w:rsidTr="00636DFB">
        <w:trPr>
          <w:trHeight w:val="70"/>
        </w:trPr>
        <w:tc>
          <w:tcPr>
            <w:tcW w:w="1985" w:type="dxa"/>
            <w:tcBorders>
              <w:top w:val="nil"/>
              <w:bottom w:val="nil"/>
            </w:tcBorders>
            <w:shd w:val="clear" w:color="auto" w:fill="FFFF00"/>
          </w:tcPr>
          <w:p w:rsidR="00003A52" w:rsidRPr="00317D9C" w:rsidRDefault="00003A52" w:rsidP="00F97394">
            <w:pPr>
              <w:adjustRightInd w:val="0"/>
              <w:snapToGrid w:val="0"/>
              <w:spacing w:line="280" w:lineRule="exact"/>
              <w:rPr>
                <w:rFonts w:ascii="HG丸ｺﾞｼｯｸM-PRO" w:eastAsia="HG丸ｺﾞｼｯｸM-PRO" w:hAnsi="HG丸ｺﾞｼｯｸM-PRO"/>
                <w:b/>
                <w:sz w:val="20"/>
                <w:szCs w:val="20"/>
              </w:rPr>
            </w:pPr>
          </w:p>
        </w:tc>
        <w:tc>
          <w:tcPr>
            <w:tcW w:w="2268" w:type="dxa"/>
            <w:gridSpan w:val="4"/>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PM2.5の現状把握、対策の検討</w:t>
            </w:r>
          </w:p>
        </w:tc>
        <w:tc>
          <w:tcPr>
            <w:tcW w:w="1276" w:type="dxa"/>
            <w:gridSpan w:val="3"/>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c>
          <w:tcPr>
            <w:tcW w:w="7512" w:type="dxa"/>
            <w:gridSpan w:val="2"/>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rPr>
          <w:trHeight w:val="822"/>
        </w:trPr>
        <w:tc>
          <w:tcPr>
            <w:tcW w:w="1985" w:type="dxa"/>
            <w:vMerge w:val="restart"/>
            <w:tcBorders>
              <w:top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vMerge w:val="restart"/>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vMerge w:val="restart"/>
            <w:tcBorders>
              <w:lef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基礎的情報の収集</w:t>
            </w:r>
          </w:p>
          <w:p w:rsidR="00003A52" w:rsidRPr="00317D9C" w:rsidRDefault="00003A52" w:rsidP="0064791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環境モニタリング体制の整備・実施</w:t>
            </w:r>
          </w:p>
        </w:tc>
        <w:tc>
          <w:tcPr>
            <w:tcW w:w="1276" w:type="dxa"/>
            <w:gridSpan w:val="3"/>
            <w:vMerge w:val="restart"/>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w:t>
            </w:r>
          </w:p>
        </w:tc>
        <w:tc>
          <w:tcPr>
            <w:tcW w:w="1701" w:type="dxa"/>
            <w:gridSpan w:val="2"/>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PM2.5の常時監視</w:t>
            </w:r>
          </w:p>
        </w:tc>
        <w:tc>
          <w:tcPr>
            <w:tcW w:w="7512" w:type="dxa"/>
            <w:gridSpan w:val="2"/>
            <w:shd w:val="clear" w:color="auto" w:fill="auto"/>
          </w:tcPr>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自動測定機による連続測定</w:t>
            </w:r>
          </w:p>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2014年度：一般局19、自排局6（府管理　以下同じ）</w:t>
            </w:r>
          </w:p>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2015年度：一般局20、自排局6</w:t>
            </w:r>
          </w:p>
          <w:p w:rsidR="00003A52" w:rsidRPr="00317D9C" w:rsidRDefault="00003A52" w:rsidP="006802DB">
            <w:pPr>
              <w:tabs>
                <w:tab w:val="left" w:pos="394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2016年度：一般局20、自排局6</w:t>
            </w:r>
          </w:p>
        </w:tc>
      </w:tr>
      <w:tr w:rsidR="00003A52" w:rsidRPr="00317D9C" w:rsidTr="00636DFB">
        <w:trPr>
          <w:trHeight w:val="200"/>
        </w:trPr>
        <w:tc>
          <w:tcPr>
            <w:tcW w:w="1985" w:type="dxa"/>
            <w:vMerge/>
            <w:tcBorders>
              <w:top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vMerge/>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vMerge/>
            <w:tcBorders>
              <w:lef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276" w:type="dxa"/>
            <w:gridSpan w:val="3"/>
            <w:vMerge/>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FC0F6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PM2.5の成分分析</w:t>
            </w:r>
          </w:p>
        </w:tc>
        <w:tc>
          <w:tcPr>
            <w:tcW w:w="7512" w:type="dxa"/>
            <w:gridSpan w:val="2"/>
            <w:shd w:val="clear" w:color="auto" w:fill="auto"/>
          </w:tcPr>
          <w:p w:rsidR="00003A52" w:rsidRPr="00317D9C" w:rsidRDefault="00003A52" w:rsidP="006802DB">
            <w:pPr>
              <w:tabs>
                <w:tab w:val="left" w:pos="372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府内3地点で年４回実施（2014～2016年度）</w:t>
            </w:r>
          </w:p>
        </w:tc>
      </w:tr>
      <w:tr w:rsidR="00003A52" w:rsidRPr="00317D9C" w:rsidTr="00636DFB">
        <w:trPr>
          <w:trHeight w:val="125"/>
        </w:trPr>
        <w:tc>
          <w:tcPr>
            <w:tcW w:w="1985" w:type="dxa"/>
            <w:vMerge/>
            <w:tcBorders>
              <w:bottom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vMerge/>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vMerge/>
            <w:tcBorders>
              <w:lef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276" w:type="dxa"/>
            <w:gridSpan w:val="3"/>
            <w:vMerge/>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監視情報の提供</w:t>
            </w:r>
          </w:p>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的確な注意喚起の実施（2012～）</w:t>
            </w:r>
          </w:p>
        </w:tc>
        <w:tc>
          <w:tcPr>
            <w:tcW w:w="7512" w:type="dxa"/>
            <w:gridSpan w:val="2"/>
            <w:shd w:val="clear" w:color="auto" w:fill="auto"/>
          </w:tcPr>
          <w:p w:rsidR="00003A52" w:rsidRPr="00317D9C" w:rsidRDefault="00003A52" w:rsidP="006802DB">
            <w:pPr>
              <w:tabs>
                <w:tab w:val="left" w:pos="394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ホームページでの速やかな情報発信</w:t>
            </w:r>
          </w:p>
          <w:p w:rsidR="00003A52" w:rsidRPr="00317D9C" w:rsidRDefault="00003A52" w:rsidP="006802DB">
            <w:pPr>
              <w:tabs>
                <w:tab w:val="left" w:pos="394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防災情報メールによる情報提供と登録の呼びかけ</w:t>
            </w:r>
          </w:p>
          <w:p w:rsidR="00003A52" w:rsidRPr="00317D9C" w:rsidRDefault="00003A52" w:rsidP="006802DB">
            <w:pPr>
              <w:tabs>
                <w:tab w:val="left" w:pos="394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注意喚起時の具体的対応を示した施設管理者向けマニュアルの配布</w:t>
            </w:r>
          </w:p>
        </w:tc>
      </w:tr>
      <w:tr w:rsidR="00003A52" w:rsidRPr="00317D9C" w:rsidTr="00636DFB">
        <w:trPr>
          <w:trHeight w:val="70"/>
        </w:trPr>
        <w:tc>
          <w:tcPr>
            <w:tcW w:w="1985" w:type="dxa"/>
            <w:vMerge w:val="restart"/>
            <w:tcBorders>
              <w:top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vMerge w:val="restart"/>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vMerge w:val="restart"/>
            <w:tcBorders>
              <w:left w:val="dashed" w:sz="4" w:space="0" w:color="auto"/>
            </w:tcBorders>
            <w:shd w:val="clear" w:color="auto" w:fill="auto"/>
          </w:tcPr>
          <w:p w:rsidR="00003A52" w:rsidRPr="00317D9C" w:rsidRDefault="00003A52" w:rsidP="001C5006">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発生機構の把握</w:t>
            </w:r>
          </w:p>
        </w:tc>
        <w:tc>
          <w:tcPr>
            <w:tcW w:w="1276" w:type="dxa"/>
            <w:gridSpan w:val="3"/>
            <w:vMerge w:val="restart"/>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w:t>
            </w:r>
          </w:p>
        </w:tc>
        <w:tc>
          <w:tcPr>
            <w:tcW w:w="1701" w:type="dxa"/>
            <w:gridSpan w:val="2"/>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PM2.5の成分分析</w:t>
            </w:r>
          </w:p>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（再掲）</w:t>
            </w:r>
          </w:p>
        </w:tc>
        <w:tc>
          <w:tcPr>
            <w:tcW w:w="7512" w:type="dxa"/>
            <w:gridSpan w:val="2"/>
            <w:shd w:val="clear" w:color="auto" w:fill="auto"/>
          </w:tcPr>
          <w:p w:rsidR="00003A52" w:rsidRPr="00317D9C" w:rsidRDefault="00003A52" w:rsidP="006802DB">
            <w:pPr>
              <w:tabs>
                <w:tab w:val="left" w:pos="372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府内3地点で年４回実施（2014～2016年度）</w:t>
            </w:r>
          </w:p>
        </w:tc>
      </w:tr>
      <w:tr w:rsidR="00003A52" w:rsidRPr="00317D9C" w:rsidTr="00636DFB">
        <w:trPr>
          <w:trHeight w:val="385"/>
        </w:trPr>
        <w:tc>
          <w:tcPr>
            <w:tcW w:w="1985" w:type="dxa"/>
            <w:vMerge/>
            <w:tcBorders>
              <w:bottom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vMerge/>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vMerge/>
            <w:tcBorders>
              <w:left w:val="dashed" w:sz="4" w:space="0" w:color="auto"/>
            </w:tcBorders>
            <w:shd w:val="clear" w:color="auto" w:fill="auto"/>
          </w:tcPr>
          <w:p w:rsidR="00003A52" w:rsidRPr="00317D9C" w:rsidRDefault="00003A52" w:rsidP="001C5006">
            <w:pPr>
              <w:adjustRightInd w:val="0"/>
              <w:snapToGrid w:val="0"/>
              <w:spacing w:line="280" w:lineRule="exact"/>
              <w:rPr>
                <w:rFonts w:ascii="HG丸ｺﾞｼｯｸM-PRO" w:eastAsia="HG丸ｺﾞｼｯｸM-PRO" w:hAnsi="HG丸ｺﾞｼｯｸM-PRO"/>
                <w:sz w:val="20"/>
                <w:szCs w:val="20"/>
              </w:rPr>
            </w:pPr>
          </w:p>
        </w:tc>
        <w:tc>
          <w:tcPr>
            <w:tcW w:w="1276" w:type="dxa"/>
            <w:gridSpan w:val="3"/>
            <w:vMerge/>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86581A">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PM2.5の汚染機構に関する研究（2013年度～）</w:t>
            </w:r>
          </w:p>
        </w:tc>
        <w:tc>
          <w:tcPr>
            <w:tcW w:w="7512" w:type="dxa"/>
            <w:gridSpan w:val="2"/>
            <w:shd w:val="clear" w:color="auto" w:fill="auto"/>
          </w:tcPr>
          <w:p w:rsidR="00003A52" w:rsidRPr="00317D9C" w:rsidRDefault="00003A52" w:rsidP="0022353C">
            <w:pPr>
              <w:tabs>
                <w:tab w:val="left" w:pos="372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地方独立行政法人環境農林水産総合研究所に依頼し、以下の研究を実施（※国立環境研究所と全国の地方環境研究機関の共同研究）</w:t>
            </w:r>
          </w:p>
          <w:p w:rsidR="00003A52" w:rsidRPr="00317D9C" w:rsidRDefault="00003A52" w:rsidP="0022353C">
            <w:pPr>
              <w:tabs>
                <w:tab w:val="left" w:pos="372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・PM2.5の成分分析結果を用いた発生源の推定</w:t>
            </w:r>
          </w:p>
          <w:p w:rsidR="00003A52" w:rsidRPr="00317D9C" w:rsidRDefault="00003A52" w:rsidP="0022353C">
            <w:pPr>
              <w:tabs>
                <w:tab w:val="left" w:pos="3725"/>
              </w:tabs>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・大阪府内におけるPM2.5高濃度メカニズムの解析</w:t>
            </w:r>
          </w:p>
        </w:tc>
      </w:tr>
      <w:tr w:rsidR="00003A52" w:rsidRPr="00317D9C" w:rsidTr="00636DFB">
        <w:trPr>
          <w:trHeight w:val="170"/>
        </w:trPr>
        <w:tc>
          <w:tcPr>
            <w:tcW w:w="1985" w:type="dxa"/>
            <w:tcBorders>
              <w:top w:val="nil"/>
              <w:bottom w:val="nil"/>
            </w:tcBorders>
            <w:shd w:val="clear" w:color="auto" w:fill="FFFF00"/>
          </w:tcPr>
          <w:p w:rsidR="00003A52" w:rsidRPr="00317D9C" w:rsidRDefault="00003A52" w:rsidP="00F97394">
            <w:pPr>
              <w:adjustRightInd w:val="0"/>
              <w:snapToGrid w:val="0"/>
              <w:spacing w:line="280" w:lineRule="exact"/>
              <w:rPr>
                <w:rFonts w:ascii="HG丸ｺﾞｼｯｸM-PRO" w:eastAsia="HG丸ｺﾞｼｯｸM-PRO" w:hAnsi="HG丸ｺﾞｼｯｸM-PRO"/>
                <w:b/>
                <w:sz w:val="20"/>
                <w:szCs w:val="20"/>
              </w:rPr>
            </w:pPr>
          </w:p>
        </w:tc>
        <w:tc>
          <w:tcPr>
            <w:tcW w:w="834" w:type="dxa"/>
            <w:tcBorders>
              <w:right w:val="dashed" w:sz="4" w:space="0" w:color="auto"/>
            </w:tcBorders>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c>
          <w:tcPr>
            <w:tcW w:w="1434" w:type="dxa"/>
            <w:gridSpan w:val="3"/>
            <w:tcBorders>
              <w:left w:val="dashed" w:sz="4" w:space="0" w:color="auto"/>
            </w:tcBorders>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効果的な対策の検討</w:t>
            </w:r>
          </w:p>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発生源対策等の実施</w:t>
            </w:r>
          </w:p>
        </w:tc>
        <w:tc>
          <w:tcPr>
            <w:tcW w:w="1276" w:type="dxa"/>
            <w:gridSpan w:val="3"/>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w:t>
            </w:r>
          </w:p>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3822B1">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SPM対策の着実な推進</w:t>
            </w:r>
          </w:p>
        </w:tc>
        <w:tc>
          <w:tcPr>
            <w:tcW w:w="7512" w:type="dxa"/>
            <w:gridSpan w:val="2"/>
            <w:shd w:val="clear" w:color="auto" w:fill="auto"/>
          </w:tcPr>
          <w:p w:rsidR="00003A52" w:rsidRPr="00317D9C" w:rsidRDefault="00003A52" w:rsidP="006802DB">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→施策No.18、19、20　参照</w:t>
            </w:r>
          </w:p>
        </w:tc>
      </w:tr>
      <w:tr w:rsidR="00003A52" w:rsidRPr="00317D9C" w:rsidTr="00636DFB">
        <w:trPr>
          <w:trHeight w:val="70"/>
        </w:trPr>
        <w:tc>
          <w:tcPr>
            <w:tcW w:w="1985" w:type="dxa"/>
            <w:tcBorders>
              <w:top w:val="nil"/>
              <w:bottom w:val="nil"/>
            </w:tcBorders>
            <w:shd w:val="clear" w:color="auto" w:fill="FFFF00"/>
          </w:tcPr>
          <w:p w:rsidR="00003A52" w:rsidRPr="00317D9C" w:rsidRDefault="00003A52" w:rsidP="00F97394">
            <w:pPr>
              <w:adjustRightInd w:val="0"/>
              <w:snapToGrid w:val="0"/>
              <w:spacing w:line="280" w:lineRule="exact"/>
              <w:rPr>
                <w:rFonts w:ascii="HG丸ｺﾞｼｯｸM-PRO" w:eastAsia="HG丸ｺﾞｼｯｸM-PRO" w:hAnsi="HG丸ｺﾞｼｯｸM-PRO"/>
                <w:b/>
                <w:sz w:val="20"/>
                <w:szCs w:val="20"/>
              </w:rPr>
            </w:pPr>
          </w:p>
        </w:tc>
        <w:tc>
          <w:tcPr>
            <w:tcW w:w="2268" w:type="dxa"/>
            <w:gridSpan w:val="4"/>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広域移流の実態把握、監視の推進</w:t>
            </w:r>
          </w:p>
        </w:tc>
        <w:tc>
          <w:tcPr>
            <w:tcW w:w="1276" w:type="dxa"/>
            <w:gridSpan w:val="3"/>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c>
          <w:tcPr>
            <w:tcW w:w="7512" w:type="dxa"/>
            <w:gridSpan w:val="2"/>
            <w:shd w:val="clear" w:color="auto" w:fill="auto"/>
          </w:tcPr>
          <w:p w:rsidR="00003A52" w:rsidRPr="00317D9C" w:rsidRDefault="00003A52" w:rsidP="00F97394">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rPr>
          <w:trHeight w:val="210"/>
        </w:trPr>
        <w:tc>
          <w:tcPr>
            <w:tcW w:w="1985" w:type="dxa"/>
            <w:tcBorders>
              <w:top w:val="nil"/>
              <w:bottom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tcBorders>
              <w:left w:val="dashed" w:sz="4" w:space="0" w:color="auto"/>
            </w:tcBorders>
            <w:shd w:val="clear" w:color="auto" w:fill="auto"/>
          </w:tcPr>
          <w:p w:rsidR="00003A52" w:rsidRPr="00317D9C" w:rsidRDefault="00003A52" w:rsidP="001C5006">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広域移流の影響の実態調査</w:t>
            </w:r>
          </w:p>
        </w:tc>
        <w:tc>
          <w:tcPr>
            <w:tcW w:w="1276" w:type="dxa"/>
            <w:gridSpan w:val="3"/>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w:t>
            </w:r>
          </w:p>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86581A">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広域移流に関する研究（2012年度～）</w:t>
            </w:r>
          </w:p>
        </w:tc>
        <w:tc>
          <w:tcPr>
            <w:tcW w:w="7512" w:type="dxa"/>
            <w:gridSpan w:val="2"/>
            <w:shd w:val="clear" w:color="auto" w:fill="auto"/>
          </w:tcPr>
          <w:p w:rsidR="00003A52" w:rsidRPr="00317D9C" w:rsidRDefault="00003A52" w:rsidP="00654A61">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大気広域シミュレーション機能を導入し、東アジア規模の広域移流の影響について解析を実施</w:t>
            </w:r>
          </w:p>
        </w:tc>
      </w:tr>
      <w:tr w:rsidR="00003A52" w:rsidRPr="00317D9C" w:rsidTr="00636DFB">
        <w:trPr>
          <w:trHeight w:val="270"/>
        </w:trPr>
        <w:tc>
          <w:tcPr>
            <w:tcW w:w="1985" w:type="dxa"/>
            <w:tcBorders>
              <w:top w:val="nil"/>
              <w:bottom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834" w:type="dxa"/>
            <w:tcBorders>
              <w:right w:val="dashed" w:sz="4" w:space="0" w:color="auto"/>
            </w:tcBorders>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434" w:type="dxa"/>
            <w:gridSpan w:val="3"/>
            <w:tcBorders>
              <w:left w:val="dashed" w:sz="4" w:space="0" w:color="auto"/>
            </w:tcBorders>
            <w:shd w:val="clear" w:color="auto" w:fill="auto"/>
          </w:tcPr>
          <w:p w:rsidR="00003A52" w:rsidRPr="00317D9C" w:rsidRDefault="00003A52" w:rsidP="001C5006">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広域移流の監視</w:t>
            </w:r>
          </w:p>
        </w:tc>
        <w:tc>
          <w:tcPr>
            <w:tcW w:w="1276" w:type="dxa"/>
            <w:gridSpan w:val="3"/>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w:t>
            </w:r>
          </w:p>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003A52" w:rsidRPr="00317D9C" w:rsidRDefault="00003A52" w:rsidP="0086581A">
            <w:pPr>
              <w:adjustRightInd w:val="0"/>
              <w:snapToGrid w:val="0"/>
              <w:spacing w:line="280" w:lineRule="exact"/>
              <w:rPr>
                <w:rFonts w:ascii="HG丸ｺﾞｼｯｸM-PRO" w:eastAsia="HG丸ｺﾞｼｯｸM-PRO" w:hAnsi="HG丸ｺﾞｼｯｸM-PRO"/>
                <w:strike/>
                <w:sz w:val="20"/>
                <w:szCs w:val="20"/>
              </w:rPr>
            </w:pPr>
            <w:r w:rsidRPr="00317D9C">
              <w:rPr>
                <w:rFonts w:ascii="HG丸ｺﾞｼｯｸM-PRO" w:eastAsia="HG丸ｺﾞｼｯｸM-PRO" w:hAnsi="HG丸ｺﾞｼｯｸM-PRO" w:hint="eastAsia"/>
                <w:sz w:val="20"/>
                <w:szCs w:val="20"/>
              </w:rPr>
              <w:t>大気汚染状況の解析（2010年度～）</w:t>
            </w:r>
          </w:p>
        </w:tc>
        <w:tc>
          <w:tcPr>
            <w:tcW w:w="7512" w:type="dxa"/>
            <w:gridSpan w:val="2"/>
            <w:shd w:val="clear" w:color="auto" w:fill="auto"/>
          </w:tcPr>
          <w:p w:rsidR="00003A52" w:rsidRPr="00317D9C" w:rsidRDefault="00003A52" w:rsidP="00654A61">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ライダー観測データや大気環境観測衛星データを用いた広域移流の観測を実施</w:t>
            </w:r>
          </w:p>
        </w:tc>
      </w:tr>
      <w:tr w:rsidR="00003A52" w:rsidRPr="00317D9C" w:rsidTr="00636DFB">
        <w:trPr>
          <w:trHeight w:val="70"/>
        </w:trPr>
        <w:tc>
          <w:tcPr>
            <w:tcW w:w="1985" w:type="dxa"/>
            <w:tcBorders>
              <w:top w:val="nil"/>
            </w:tcBorders>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p>
        </w:tc>
        <w:tc>
          <w:tcPr>
            <w:tcW w:w="12757" w:type="dxa"/>
            <w:gridSpan w:val="11"/>
            <w:shd w:val="clear" w:color="auto" w:fill="auto"/>
          </w:tcPr>
          <w:p w:rsidR="00003A52" w:rsidRPr="00317D9C" w:rsidRDefault="00003A52"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003A52" w:rsidRPr="00317D9C" w:rsidTr="00636DFB">
        <w:trPr>
          <w:trHeight w:val="70"/>
        </w:trPr>
        <w:tc>
          <w:tcPr>
            <w:tcW w:w="1985" w:type="dxa"/>
            <w:vMerge w:val="restart"/>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評価</w:t>
            </w: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p>
        </w:tc>
        <w:tc>
          <w:tcPr>
            <w:tcW w:w="1385" w:type="dxa"/>
            <w:gridSpan w:val="3"/>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評価</w:t>
            </w:r>
          </w:p>
        </w:tc>
        <w:tc>
          <w:tcPr>
            <w:tcW w:w="10367" w:type="dxa"/>
            <w:gridSpan w:val="6"/>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理由等</w:t>
            </w:r>
          </w:p>
        </w:tc>
      </w:tr>
      <w:tr w:rsidR="00003A52" w:rsidRPr="00317D9C" w:rsidTr="00636DFB">
        <w:trPr>
          <w:trHeight w:val="195"/>
        </w:trPr>
        <w:tc>
          <w:tcPr>
            <w:tcW w:w="1985" w:type="dxa"/>
            <w:vMerge/>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施策目的の達成状況</w:t>
            </w:r>
          </w:p>
        </w:tc>
        <w:tc>
          <w:tcPr>
            <w:tcW w:w="1385" w:type="dxa"/>
            <w:gridSpan w:val="3"/>
            <w:shd w:val="clear" w:color="auto" w:fill="auto"/>
          </w:tcPr>
          <w:p w:rsidR="00003A52" w:rsidRPr="00317D9C" w:rsidRDefault="00003A52" w:rsidP="00863BB3">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現状では環境保全目標を達成していない</w:t>
            </w:r>
          </w:p>
        </w:tc>
        <w:tc>
          <w:tcPr>
            <w:tcW w:w="10367" w:type="dxa"/>
            <w:gridSpan w:val="6"/>
            <w:shd w:val="clear" w:color="auto" w:fill="auto"/>
          </w:tcPr>
          <w:p w:rsidR="00003A52" w:rsidRPr="00317D9C" w:rsidRDefault="00F34B9F" w:rsidP="00D71C26">
            <w:pPr>
              <w:adjustRightInd w:val="0"/>
              <w:snapToGrid w:val="0"/>
              <w:spacing w:line="280" w:lineRule="exact"/>
              <w:rPr>
                <w:rFonts w:ascii="HG丸ｺﾞｼｯｸM-PRO" w:eastAsia="HG丸ｺﾞｼｯｸM-PRO" w:hAnsi="HG丸ｺﾞｼｯｸM-PRO"/>
                <w:sz w:val="20"/>
                <w:szCs w:val="20"/>
              </w:rPr>
            </w:pPr>
            <w:r w:rsidRPr="00F34B9F">
              <w:rPr>
                <w:rFonts w:ascii="HG丸ｺﾞｼｯｸM-PRO" w:eastAsia="HG丸ｺﾞｼｯｸM-PRO" w:hAnsi="HG丸ｺﾞｼｯｸM-PRO" w:hint="eastAsia"/>
                <w:sz w:val="20"/>
                <w:szCs w:val="20"/>
              </w:rPr>
              <w:t>PM2.5の2016年度における環境基準達成率は90.9％であり、2015年度の34.5％から大幅に向上。また、年平均濃度は緩やかな改善傾向。</w:t>
            </w:r>
          </w:p>
        </w:tc>
      </w:tr>
      <w:tr w:rsidR="00003A52" w:rsidRPr="00317D9C" w:rsidTr="00636DFB">
        <w:trPr>
          <w:trHeight w:val="180"/>
        </w:trPr>
        <w:tc>
          <w:tcPr>
            <w:tcW w:w="1985" w:type="dxa"/>
            <w:vMerge/>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事業・工程の進捗状況</w:t>
            </w:r>
          </w:p>
        </w:tc>
        <w:tc>
          <w:tcPr>
            <w:tcW w:w="1385" w:type="dxa"/>
            <w:gridSpan w:val="3"/>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概ね想定どおり進捗</w:t>
            </w:r>
          </w:p>
        </w:tc>
        <w:tc>
          <w:tcPr>
            <w:tcW w:w="10367" w:type="dxa"/>
            <w:gridSpan w:val="6"/>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rPr>
          <w:trHeight w:val="195"/>
        </w:trPr>
        <w:tc>
          <w:tcPr>
            <w:tcW w:w="1985" w:type="dxa"/>
            <w:vMerge w:val="restart"/>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計画見直し又は改善事項</w:t>
            </w: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p>
        </w:tc>
        <w:tc>
          <w:tcPr>
            <w:tcW w:w="1385" w:type="dxa"/>
            <w:gridSpan w:val="3"/>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見直し・改善点の有無</w:t>
            </w:r>
          </w:p>
        </w:tc>
        <w:tc>
          <w:tcPr>
            <w:tcW w:w="10367" w:type="dxa"/>
            <w:gridSpan w:val="6"/>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見直し・改善点の内容等</w:t>
            </w:r>
          </w:p>
        </w:tc>
      </w:tr>
      <w:tr w:rsidR="00003A52" w:rsidRPr="00317D9C" w:rsidTr="00636DFB">
        <w:trPr>
          <w:trHeight w:val="120"/>
        </w:trPr>
        <w:tc>
          <w:tcPr>
            <w:tcW w:w="1985" w:type="dxa"/>
            <w:vMerge/>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目標</w:t>
            </w:r>
          </w:p>
        </w:tc>
        <w:tc>
          <w:tcPr>
            <w:tcW w:w="1385" w:type="dxa"/>
            <w:gridSpan w:val="3"/>
            <w:shd w:val="clear" w:color="auto" w:fill="auto"/>
          </w:tcPr>
          <w:p w:rsidR="00003A52" w:rsidRPr="00317D9C" w:rsidRDefault="00003A52" w:rsidP="00EB22E1">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無</w:t>
            </w:r>
          </w:p>
        </w:tc>
        <w:tc>
          <w:tcPr>
            <w:tcW w:w="10367" w:type="dxa"/>
            <w:gridSpan w:val="6"/>
            <w:shd w:val="clear" w:color="auto" w:fill="auto"/>
          </w:tcPr>
          <w:p w:rsidR="00003A52" w:rsidRPr="00317D9C" w:rsidRDefault="00003A52" w:rsidP="003822B1">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rPr>
          <w:trHeight w:val="135"/>
        </w:trPr>
        <w:tc>
          <w:tcPr>
            <w:tcW w:w="1985" w:type="dxa"/>
            <w:vMerge/>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施策の方向・主な施策</w:t>
            </w:r>
          </w:p>
        </w:tc>
        <w:tc>
          <w:tcPr>
            <w:tcW w:w="1385" w:type="dxa"/>
            <w:gridSpan w:val="3"/>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無</w:t>
            </w:r>
          </w:p>
        </w:tc>
        <w:tc>
          <w:tcPr>
            <w:tcW w:w="10367" w:type="dxa"/>
            <w:gridSpan w:val="6"/>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rPr>
          <w:trHeight w:val="165"/>
        </w:trPr>
        <w:tc>
          <w:tcPr>
            <w:tcW w:w="1985" w:type="dxa"/>
            <w:vMerge/>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工程表</w:t>
            </w:r>
          </w:p>
        </w:tc>
        <w:tc>
          <w:tcPr>
            <w:tcW w:w="1385" w:type="dxa"/>
            <w:gridSpan w:val="3"/>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無</w:t>
            </w:r>
          </w:p>
        </w:tc>
        <w:tc>
          <w:tcPr>
            <w:tcW w:w="10367" w:type="dxa"/>
            <w:gridSpan w:val="6"/>
            <w:shd w:val="clear" w:color="auto" w:fill="auto"/>
          </w:tcPr>
          <w:p w:rsidR="00003A52" w:rsidRPr="00317D9C" w:rsidRDefault="00003A52" w:rsidP="00535D11">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rPr>
          <w:trHeight w:val="105"/>
        </w:trPr>
        <w:tc>
          <w:tcPr>
            <w:tcW w:w="1985" w:type="dxa"/>
            <w:vMerge/>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b/>
                <w:sz w:val="20"/>
                <w:szCs w:val="20"/>
              </w:rPr>
            </w:pPr>
          </w:p>
        </w:tc>
        <w:tc>
          <w:tcPr>
            <w:tcW w:w="1005" w:type="dxa"/>
            <w:gridSpan w:val="2"/>
            <w:shd w:val="clear" w:color="auto" w:fill="FFFF00"/>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その他の改善事項</w:t>
            </w:r>
          </w:p>
        </w:tc>
        <w:tc>
          <w:tcPr>
            <w:tcW w:w="1385" w:type="dxa"/>
            <w:gridSpan w:val="3"/>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無</w:t>
            </w:r>
          </w:p>
        </w:tc>
        <w:tc>
          <w:tcPr>
            <w:tcW w:w="10367" w:type="dxa"/>
            <w:gridSpan w:val="6"/>
            <w:shd w:val="clear" w:color="auto" w:fill="auto"/>
          </w:tcPr>
          <w:p w:rsidR="00003A52" w:rsidRPr="00317D9C" w:rsidRDefault="00003A52" w:rsidP="000E057D">
            <w:pPr>
              <w:adjustRightInd w:val="0"/>
              <w:snapToGrid w:val="0"/>
              <w:spacing w:line="280" w:lineRule="exact"/>
              <w:rPr>
                <w:rFonts w:ascii="HG丸ｺﾞｼｯｸM-PRO" w:eastAsia="HG丸ｺﾞｼｯｸM-PRO" w:hAnsi="HG丸ｺﾞｼｯｸM-PRO"/>
                <w:sz w:val="20"/>
                <w:szCs w:val="20"/>
              </w:rPr>
            </w:pPr>
          </w:p>
        </w:tc>
      </w:tr>
      <w:tr w:rsidR="00003A52" w:rsidRPr="00317D9C" w:rsidTr="00636DFB">
        <w:tc>
          <w:tcPr>
            <w:tcW w:w="1985" w:type="dxa"/>
            <w:shd w:val="clear" w:color="auto" w:fill="FFFF00"/>
          </w:tcPr>
          <w:p w:rsidR="00003A52" w:rsidRPr="00317D9C" w:rsidRDefault="00003A52" w:rsidP="00460322">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関係課室</w:t>
            </w:r>
          </w:p>
        </w:tc>
        <w:tc>
          <w:tcPr>
            <w:tcW w:w="12757" w:type="dxa"/>
            <w:gridSpan w:val="11"/>
            <w:shd w:val="clear" w:color="auto" w:fill="auto"/>
          </w:tcPr>
          <w:p w:rsidR="00003A52" w:rsidRPr="00317D9C" w:rsidRDefault="00003A52" w:rsidP="00460322">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環境管理室、環農水研</w:t>
            </w:r>
          </w:p>
        </w:tc>
      </w:tr>
    </w:tbl>
    <w:p w:rsidR="00525DFA" w:rsidRPr="00317D9C" w:rsidRDefault="007E2876" w:rsidP="00525DFA">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 xml:space="preserve">　</w:t>
      </w:r>
      <w:r w:rsidR="00525DFA" w:rsidRPr="00317D9C">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317D9C" w:rsidRPr="00317D9C" w:rsidTr="004F3BF7">
        <w:trPr>
          <w:trHeight w:val="113"/>
        </w:trPr>
        <w:tc>
          <w:tcPr>
            <w:tcW w:w="1496" w:type="dxa"/>
            <w:vMerge w:val="restart"/>
            <w:shd w:val="clear" w:color="auto" w:fill="FFFF00"/>
          </w:tcPr>
          <w:p w:rsidR="00525DFA" w:rsidRPr="00317D9C" w:rsidRDefault="00525DFA" w:rsidP="004F3BF7">
            <w:pPr>
              <w:adjustRightInd w:val="0"/>
              <w:snapToGrid w:val="0"/>
              <w:spacing w:line="280" w:lineRule="exact"/>
              <w:rPr>
                <w:rFonts w:ascii="HG丸ｺﾞｼｯｸM-PRO" w:eastAsia="HG丸ｺﾞｼｯｸM-PRO" w:hAnsi="HG丸ｺﾞｼｯｸM-PRO"/>
                <w:b/>
                <w:sz w:val="20"/>
                <w:szCs w:val="20"/>
              </w:rPr>
            </w:pPr>
            <w:r w:rsidRPr="00317D9C">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525DFA" w:rsidRPr="00317D9C" w:rsidRDefault="00525DFA" w:rsidP="004F3BF7">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525DFA" w:rsidRPr="00317D9C" w:rsidRDefault="00525DFA" w:rsidP="004F3BF7">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評価結果について</w:t>
            </w:r>
          </w:p>
        </w:tc>
        <w:tc>
          <w:tcPr>
            <w:tcW w:w="4581" w:type="dxa"/>
            <w:shd w:val="clear" w:color="auto" w:fill="FFFF00"/>
          </w:tcPr>
          <w:p w:rsidR="00525DFA" w:rsidRPr="00317D9C" w:rsidRDefault="00525DFA" w:rsidP="004F3BF7">
            <w:pPr>
              <w:adjustRightInd w:val="0"/>
              <w:snapToGrid w:val="0"/>
              <w:spacing w:line="280" w:lineRule="exac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計画の見直し又は改善方針について</w:t>
            </w:r>
          </w:p>
        </w:tc>
      </w:tr>
      <w:tr w:rsidR="00317D9C" w:rsidRPr="00317D9C" w:rsidTr="004F3BF7">
        <w:trPr>
          <w:trHeight w:val="750"/>
        </w:trPr>
        <w:tc>
          <w:tcPr>
            <w:tcW w:w="1496" w:type="dxa"/>
            <w:vMerge/>
            <w:shd w:val="clear" w:color="auto" w:fill="FFFF00"/>
          </w:tcPr>
          <w:p w:rsidR="00863BB3" w:rsidRPr="00317D9C" w:rsidRDefault="00863BB3"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863BB3" w:rsidRPr="00317D9C" w:rsidRDefault="00BD3511" w:rsidP="000C3CF2">
            <w:pPr>
              <w:adjustRightInd w:val="0"/>
              <w:snapToGrid w:val="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点検評価手法の適正さについては、概ね妥当である。</w:t>
            </w:r>
          </w:p>
        </w:tc>
        <w:tc>
          <w:tcPr>
            <w:tcW w:w="4285" w:type="dxa"/>
            <w:shd w:val="clear" w:color="auto" w:fill="auto"/>
          </w:tcPr>
          <w:p w:rsidR="00863BB3" w:rsidRPr="00317D9C" w:rsidRDefault="00BD3511" w:rsidP="00863BB3">
            <w:pPr>
              <w:widowControl/>
              <w:adjustRightInd w:val="0"/>
              <w:snapToGrid w:val="0"/>
              <w:jc w:val="left"/>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評価結果については、概ね妥当である。</w:t>
            </w:r>
          </w:p>
        </w:tc>
        <w:tc>
          <w:tcPr>
            <w:tcW w:w="4581" w:type="dxa"/>
            <w:shd w:val="clear" w:color="auto" w:fill="auto"/>
          </w:tcPr>
          <w:p w:rsidR="00863BB3" w:rsidRPr="00317D9C" w:rsidRDefault="00BD3511" w:rsidP="00BD3511">
            <w:pPr>
              <w:adjustRightInd w:val="0"/>
              <w:snapToGrid w:val="0"/>
              <w:rPr>
                <w:rFonts w:ascii="HG丸ｺﾞｼｯｸM-PRO" w:eastAsia="HG丸ｺﾞｼｯｸM-PRO" w:hAnsi="HG丸ｺﾞｼｯｸM-PRO"/>
                <w:sz w:val="20"/>
                <w:szCs w:val="20"/>
              </w:rPr>
            </w:pPr>
            <w:r w:rsidRPr="00317D9C">
              <w:rPr>
                <w:rFonts w:ascii="HG丸ｺﾞｼｯｸM-PRO" w:eastAsia="HG丸ｺﾞｼｯｸM-PRO" w:hAnsi="HG丸ｺﾞｼｯｸM-PRO" w:hint="eastAsia"/>
                <w:sz w:val="20"/>
                <w:szCs w:val="20"/>
              </w:rPr>
              <w:t>計画の見直し又は改善方針については、概ね妥当である。しかし、環境基準を満たしていない測定局があることから、工程の前倒しで実施することも考慮する必要がある。</w:t>
            </w:r>
          </w:p>
        </w:tc>
      </w:tr>
    </w:tbl>
    <w:p w:rsidR="00E70F05" w:rsidRPr="00317D9C" w:rsidRDefault="00E70F05" w:rsidP="008C29B6">
      <w:pPr>
        <w:widowControl/>
        <w:jc w:val="left"/>
        <w:rPr>
          <w:rFonts w:ascii="HG丸ｺﾞｼｯｸM-PRO" w:eastAsia="HG丸ｺﾞｼｯｸM-PRO" w:hAnsi="HG丸ｺﾞｼｯｸM-PRO"/>
          <w:sz w:val="20"/>
          <w:szCs w:val="20"/>
        </w:rPr>
      </w:pPr>
    </w:p>
    <w:sectPr w:rsidR="00E70F05" w:rsidRPr="00317D9C" w:rsidSect="00D4719D">
      <w:footerReference w:type="default" r:id="rId11"/>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45" w:rsidRDefault="00687245" w:rsidP="00DF093F">
      <w:r>
        <w:separator/>
      </w:r>
    </w:p>
  </w:endnote>
  <w:endnote w:type="continuationSeparator" w:id="0">
    <w:p w:rsidR="00687245" w:rsidRDefault="00687245"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195184"/>
      <w:docPartObj>
        <w:docPartGallery w:val="Page Numbers (Bottom of Page)"/>
        <w:docPartUnique/>
      </w:docPartObj>
    </w:sdtPr>
    <w:sdtEndPr/>
    <w:sdtContent>
      <w:p w:rsidR="00E2031C" w:rsidRDefault="005643E9">
        <w:pPr>
          <w:pStyle w:val="a6"/>
          <w:jc w:val="center"/>
        </w:pPr>
        <w:r>
          <w:fldChar w:fldCharType="begin"/>
        </w:r>
        <w:r w:rsidR="00E2031C">
          <w:instrText>PAGE   \* MERGEFORMAT</w:instrText>
        </w:r>
        <w:r>
          <w:fldChar w:fldCharType="separate"/>
        </w:r>
        <w:r w:rsidR="00B13293" w:rsidRPr="00B13293">
          <w:rPr>
            <w:noProof/>
            <w:lang w:val="ja-JP"/>
          </w:rPr>
          <w:t>2</w:t>
        </w:r>
        <w:r>
          <w:fldChar w:fldCharType="end"/>
        </w:r>
      </w:p>
    </w:sdtContent>
  </w:sdt>
  <w:p w:rsidR="00E2031C" w:rsidRDefault="00E203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45" w:rsidRDefault="00687245" w:rsidP="00DF093F">
      <w:r>
        <w:separator/>
      </w:r>
    </w:p>
  </w:footnote>
  <w:footnote w:type="continuationSeparator" w:id="0">
    <w:p w:rsidR="00687245" w:rsidRDefault="00687245"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C8"/>
    <w:rsid w:val="00003A52"/>
    <w:rsid w:val="0007537D"/>
    <w:rsid w:val="00077514"/>
    <w:rsid w:val="00091444"/>
    <w:rsid w:val="000E2AC8"/>
    <w:rsid w:val="000F187A"/>
    <w:rsid w:val="001567BA"/>
    <w:rsid w:val="001A194A"/>
    <w:rsid w:val="001A21A7"/>
    <w:rsid w:val="001B14B3"/>
    <w:rsid w:val="001C5006"/>
    <w:rsid w:val="001E1403"/>
    <w:rsid w:val="00210FC5"/>
    <w:rsid w:val="00216BAB"/>
    <w:rsid w:val="0022353C"/>
    <w:rsid w:val="002326FC"/>
    <w:rsid w:val="0024137F"/>
    <w:rsid w:val="0024769F"/>
    <w:rsid w:val="00250982"/>
    <w:rsid w:val="00261A14"/>
    <w:rsid w:val="002715D4"/>
    <w:rsid w:val="00286AA6"/>
    <w:rsid w:val="00293E20"/>
    <w:rsid w:val="002F10E6"/>
    <w:rsid w:val="00317D9C"/>
    <w:rsid w:val="003213A2"/>
    <w:rsid w:val="00322A9D"/>
    <w:rsid w:val="00322CF5"/>
    <w:rsid w:val="003259A1"/>
    <w:rsid w:val="00335DFB"/>
    <w:rsid w:val="00336377"/>
    <w:rsid w:val="00361367"/>
    <w:rsid w:val="003643C4"/>
    <w:rsid w:val="003732DC"/>
    <w:rsid w:val="003822B1"/>
    <w:rsid w:val="00392F77"/>
    <w:rsid w:val="00413771"/>
    <w:rsid w:val="00416D7E"/>
    <w:rsid w:val="004202AB"/>
    <w:rsid w:val="004718A4"/>
    <w:rsid w:val="0047300B"/>
    <w:rsid w:val="004A6C02"/>
    <w:rsid w:val="004E6196"/>
    <w:rsid w:val="00515091"/>
    <w:rsid w:val="00516BA1"/>
    <w:rsid w:val="00525DFA"/>
    <w:rsid w:val="00535D11"/>
    <w:rsid w:val="00540E2B"/>
    <w:rsid w:val="00546654"/>
    <w:rsid w:val="0055001A"/>
    <w:rsid w:val="005562A9"/>
    <w:rsid w:val="005579A0"/>
    <w:rsid w:val="00563823"/>
    <w:rsid w:val="005643E9"/>
    <w:rsid w:val="006104FF"/>
    <w:rsid w:val="006305BE"/>
    <w:rsid w:val="00636DFB"/>
    <w:rsid w:val="0064791B"/>
    <w:rsid w:val="0065354A"/>
    <w:rsid w:val="00654A61"/>
    <w:rsid w:val="00655282"/>
    <w:rsid w:val="00687245"/>
    <w:rsid w:val="006C65EE"/>
    <w:rsid w:val="006F0C09"/>
    <w:rsid w:val="00747714"/>
    <w:rsid w:val="007709F0"/>
    <w:rsid w:val="007C015C"/>
    <w:rsid w:val="007E2876"/>
    <w:rsid w:val="007F587D"/>
    <w:rsid w:val="007F63BF"/>
    <w:rsid w:val="008146C1"/>
    <w:rsid w:val="008343A9"/>
    <w:rsid w:val="00837386"/>
    <w:rsid w:val="008401B6"/>
    <w:rsid w:val="00843C9D"/>
    <w:rsid w:val="00846325"/>
    <w:rsid w:val="00863BB3"/>
    <w:rsid w:val="0086581A"/>
    <w:rsid w:val="008B63EF"/>
    <w:rsid w:val="008C29B6"/>
    <w:rsid w:val="008E4EFA"/>
    <w:rsid w:val="00914A9F"/>
    <w:rsid w:val="00925BBC"/>
    <w:rsid w:val="00966480"/>
    <w:rsid w:val="0099172A"/>
    <w:rsid w:val="009D33A5"/>
    <w:rsid w:val="00A0206D"/>
    <w:rsid w:val="00A16927"/>
    <w:rsid w:val="00A2565E"/>
    <w:rsid w:val="00A56D1E"/>
    <w:rsid w:val="00A8464E"/>
    <w:rsid w:val="00AB4937"/>
    <w:rsid w:val="00AC2ADD"/>
    <w:rsid w:val="00AF0AE6"/>
    <w:rsid w:val="00AF45FE"/>
    <w:rsid w:val="00AF7529"/>
    <w:rsid w:val="00B13293"/>
    <w:rsid w:val="00B17FB0"/>
    <w:rsid w:val="00BD3511"/>
    <w:rsid w:val="00C267D5"/>
    <w:rsid w:val="00C4727D"/>
    <w:rsid w:val="00C64D1B"/>
    <w:rsid w:val="00CA215D"/>
    <w:rsid w:val="00CC397E"/>
    <w:rsid w:val="00CC39A7"/>
    <w:rsid w:val="00CF336A"/>
    <w:rsid w:val="00D4719D"/>
    <w:rsid w:val="00D64FBD"/>
    <w:rsid w:val="00DA3B33"/>
    <w:rsid w:val="00DB3628"/>
    <w:rsid w:val="00DF093F"/>
    <w:rsid w:val="00E07503"/>
    <w:rsid w:val="00E1744F"/>
    <w:rsid w:val="00E2031C"/>
    <w:rsid w:val="00E36245"/>
    <w:rsid w:val="00E70F05"/>
    <w:rsid w:val="00E95F23"/>
    <w:rsid w:val="00EC22D5"/>
    <w:rsid w:val="00ED1A47"/>
    <w:rsid w:val="00F0792A"/>
    <w:rsid w:val="00F27997"/>
    <w:rsid w:val="00F34B9F"/>
    <w:rsid w:val="00F43827"/>
    <w:rsid w:val="00F54E55"/>
    <w:rsid w:val="00F7193D"/>
    <w:rsid w:val="00F81BF2"/>
    <w:rsid w:val="00F847B2"/>
    <w:rsid w:val="00F87AB6"/>
    <w:rsid w:val="00FB3AD4"/>
    <w:rsid w:val="00FC604A"/>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15936333">
      <w:bodyDiv w:val="1"/>
      <w:marLeft w:val="0"/>
      <w:marRight w:val="0"/>
      <w:marTop w:val="0"/>
      <w:marBottom w:val="0"/>
      <w:divBdr>
        <w:top w:val="none" w:sz="0" w:space="0" w:color="auto"/>
        <w:left w:val="none" w:sz="0" w:space="0" w:color="auto"/>
        <w:bottom w:val="none" w:sz="0" w:space="0" w:color="auto"/>
        <w:right w:val="none" w:sz="0" w:space="0" w:color="auto"/>
      </w:divBdr>
    </w:div>
    <w:div w:id="1432818238">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A3CB6-D831-459C-85FC-5484DB1B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BA77BD-3421-41AA-B86B-DD3BA4BD6604}">
  <ds:schemaRefs>
    <ds:schemaRef ds:uri="http://schemas.microsoft.com/office/2006/metadata/properties"/>
  </ds:schemaRefs>
</ds:datastoreItem>
</file>

<file path=customXml/itemProps3.xml><?xml version="1.0" encoding="utf-8"?>
<ds:datastoreItem xmlns:ds="http://schemas.openxmlformats.org/officeDocument/2006/customXml" ds:itemID="{3F5948B7-D345-4D1E-BC4B-C0C5ED817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武田　梨沙</cp:lastModifiedBy>
  <cp:revision>10</cp:revision>
  <cp:lastPrinted>2017-07-18T04:01:00Z</cp:lastPrinted>
  <dcterms:created xsi:type="dcterms:W3CDTF">2017-07-24T12:35:00Z</dcterms:created>
  <dcterms:modified xsi:type="dcterms:W3CDTF">2018-01-23T04:10:00Z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