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9" w:rsidRDefault="007D09B6" w:rsidP="00BB3E5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D7F50" wp14:editId="2F9A031E">
                <wp:simplePos x="0" y="0"/>
                <wp:positionH relativeFrom="column">
                  <wp:posOffset>5056505</wp:posOffset>
                </wp:positionH>
                <wp:positionV relativeFrom="paragraph">
                  <wp:posOffset>-433705</wp:posOffset>
                </wp:positionV>
                <wp:extent cx="914400" cy="287020"/>
                <wp:effectExtent l="0" t="0" r="2603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D9C" w:rsidRPr="00714749" w:rsidRDefault="00581D9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資料３―２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15pt;margin-top:-34.15pt;width:1in;height:22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" fillcolor="white [3201]" strokeweight=".5pt">
                <v:textbox style="mso-fit-shape-to-text:t">
                  <w:txbxContent>
                    <w:p w:rsidR="00581D9C" w:rsidRPr="00714749" w:rsidRDefault="00581D9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資料３―２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大阪21世紀の新環境総合計画の</w:t>
      </w:r>
      <w:r w:rsidRPr="00745FEE">
        <w:rPr>
          <w:rFonts w:asciiTheme="majorEastAsia" w:eastAsiaTheme="majorEastAsia" w:hAnsiTheme="majorEastAsia" w:hint="eastAsia"/>
          <w:sz w:val="28"/>
          <w:szCs w:val="28"/>
        </w:rPr>
        <w:t>点検</w:t>
      </w:r>
      <w:r w:rsidR="00D36A93">
        <w:rPr>
          <w:rFonts w:asciiTheme="majorEastAsia" w:eastAsiaTheme="majorEastAsia" w:hAnsiTheme="majorEastAsia" w:hint="eastAsia"/>
          <w:sz w:val="28"/>
          <w:szCs w:val="28"/>
        </w:rPr>
        <w:t>評価</w:t>
      </w:r>
      <w:bookmarkStart w:id="0" w:name="_GoBack"/>
      <w:bookmarkEnd w:id="0"/>
      <w:r w:rsidRPr="00745FEE">
        <w:rPr>
          <w:rFonts w:asciiTheme="majorEastAsia" w:eastAsiaTheme="majorEastAsia" w:hAnsiTheme="majorEastAsia" w:hint="eastAsia"/>
          <w:sz w:val="28"/>
          <w:szCs w:val="28"/>
        </w:rPr>
        <w:t>結果及び計画の一部見直し</w:t>
      </w:r>
    </w:p>
    <w:p w:rsidR="007D09B6" w:rsidRDefault="007D09B6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１．開催状況</w:t>
      </w:r>
    </w:p>
    <w:p w:rsidR="00064E71" w:rsidRDefault="00064E71" w:rsidP="00064E71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＜日時・議題＞</w:t>
      </w:r>
    </w:p>
    <w:p w:rsidR="00064E71" w:rsidRDefault="00064E71" w:rsidP="00064E71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平成29年８月17日　第1回部会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 xml:space="preserve">　　（７名中５名</w:t>
      </w:r>
      <w:r w:rsidR="004A7CCF">
        <w:rPr>
          <w:rFonts w:ascii="ＭＳ ゴシック" w:eastAsia="ＭＳ ゴシック" w:hAnsi="ＭＳ ゴシック" w:hint="eastAsia"/>
          <w:color w:val="000000"/>
          <w:sz w:val="22"/>
        </w:rPr>
        <w:t>の委員が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>出席）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議題１　昨年度の環境の状況及び講じた施策に係る点検・評価について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議題２　毎年度サイクルの進行管理における重点的な点検・評価について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対象分野：全てのいのちが共生する社会の構築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魅力と活力ある快適な地域づくりの推進</w:t>
      </w:r>
    </w:p>
    <w:p w:rsidR="00064E71" w:rsidRPr="00064E71" w:rsidRDefault="00064E71" w:rsidP="00064E71">
      <w:pPr>
        <w:ind w:leftChars="314" w:left="1559" w:hangingChars="409" w:hanging="9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議題３　大阪21世紀の新環境総合計画の複数年サイクルの点検・評価及び計画の一部見直しについて</w:t>
      </w: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２．点検評価の方法</w:t>
      </w:r>
    </w:p>
    <w:p w:rsidR="00260D27" w:rsidRPr="007E41FA" w:rsidRDefault="00260D27" w:rsidP="00260D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7E41FA">
        <w:rPr>
          <w:rFonts w:ascii="ＭＳ ゴシック" w:eastAsia="ＭＳ ゴシック" w:hAnsi="ＭＳ ゴシック" w:hint="eastAsia"/>
        </w:rPr>
        <w:t>毎年度サイクルの点検評価</w:t>
      </w:r>
      <w:r>
        <w:rPr>
          <w:rFonts w:ascii="ＭＳ ゴシック" w:eastAsia="ＭＳ ゴシック" w:hAnsi="ＭＳ ゴシック" w:hint="eastAsia"/>
        </w:rPr>
        <w:t>＞</w:t>
      </w:r>
    </w:p>
    <w:p w:rsidR="00260D27" w:rsidRPr="007E41FA" w:rsidRDefault="00260D27" w:rsidP="00EE1D54">
      <w:pPr>
        <w:ind w:leftChars="133" w:left="424" w:hangingChars="69" w:hanging="145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</w:t>
      </w:r>
      <w:r w:rsidR="00A16401">
        <w:rPr>
          <w:rFonts w:ascii="ＭＳ ゴシック" w:eastAsia="ＭＳ ゴシック" w:hAnsi="ＭＳ ゴシック" w:hint="eastAsia"/>
        </w:rPr>
        <w:t>府が作成する点検評価シートに基づき、</w:t>
      </w:r>
      <w:r w:rsidRPr="007E41FA">
        <w:rPr>
          <w:rFonts w:ascii="ＭＳ ゴシック" w:eastAsia="ＭＳ ゴシック" w:hAnsi="ＭＳ ゴシック" w:hint="eastAsia"/>
        </w:rPr>
        <w:t>主な施策・事業の年度毎の取組指標（アウトプット）の達成状況を中心に点検評価</w:t>
      </w:r>
    </w:p>
    <w:p w:rsidR="00260D27" w:rsidRPr="007E41FA" w:rsidRDefault="00260D27" w:rsidP="00260D27">
      <w:pPr>
        <w:ind w:leftChars="134" w:left="281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・重点的な分野を設定し、詳細な点検評価を実施</w:t>
      </w:r>
    </w:p>
    <w:p w:rsidR="00260D27" w:rsidRPr="007E41FA" w:rsidRDefault="00260D27" w:rsidP="00260D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7E41FA">
        <w:rPr>
          <w:rFonts w:ascii="ＭＳ ゴシック" w:eastAsia="ＭＳ ゴシック" w:hAnsi="ＭＳ ゴシック" w:hint="eastAsia"/>
        </w:rPr>
        <w:t>複数年（</w:t>
      </w:r>
      <w:r w:rsidRPr="007E41FA">
        <w:rPr>
          <w:rFonts w:ascii="ＭＳ ゴシック" w:eastAsia="ＭＳ ゴシック" w:hAnsi="ＭＳ ゴシック"/>
        </w:rPr>
        <w:t>3</w:t>
      </w:r>
      <w:r w:rsidRPr="007E41FA">
        <w:rPr>
          <w:rFonts w:ascii="ＭＳ ゴシック" w:eastAsia="ＭＳ ゴシック" w:hAnsi="ＭＳ ゴシック" w:hint="eastAsia"/>
        </w:rPr>
        <w:t>～</w:t>
      </w:r>
      <w:r w:rsidRPr="007E41FA">
        <w:rPr>
          <w:rFonts w:ascii="ＭＳ ゴシック" w:eastAsia="ＭＳ ゴシック" w:hAnsi="ＭＳ ゴシック"/>
        </w:rPr>
        <w:t>4</w:t>
      </w:r>
      <w:r w:rsidRPr="007E41FA">
        <w:rPr>
          <w:rFonts w:ascii="ＭＳ ゴシック" w:eastAsia="ＭＳ ゴシック" w:hAnsi="ＭＳ ゴシック" w:hint="eastAsia"/>
        </w:rPr>
        <w:t>年）サイクルの点検評価</w:t>
      </w:r>
      <w:r>
        <w:rPr>
          <w:rFonts w:ascii="ＭＳ ゴシック" w:eastAsia="ＭＳ ゴシック" w:hAnsi="ＭＳ ゴシック" w:hint="eastAsia"/>
        </w:rPr>
        <w:t>＞</w:t>
      </w:r>
    </w:p>
    <w:p w:rsidR="00260D27" w:rsidRPr="007E41FA" w:rsidRDefault="00260D27" w:rsidP="00260D27">
      <w:pPr>
        <w:ind w:leftChars="135" w:left="566" w:hangingChars="135" w:hanging="283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</w:t>
      </w:r>
      <w:r w:rsidR="00A16401">
        <w:rPr>
          <w:rFonts w:ascii="ＭＳ ゴシック" w:eastAsia="ＭＳ ゴシック" w:hAnsi="ＭＳ ゴシック" w:hint="eastAsia"/>
        </w:rPr>
        <w:t>府が作成する複数年サイクル点検評価レポートに基づき、</w:t>
      </w:r>
      <w:r w:rsidRPr="007E41FA">
        <w:rPr>
          <w:rFonts w:ascii="ＭＳ ゴシック" w:eastAsia="ＭＳ ゴシック" w:hAnsi="ＭＳ ゴシック" w:hint="eastAsia"/>
        </w:rPr>
        <w:t>2020年の目標（アウトカム）の達成に向けた施策の方向や、</w:t>
      </w:r>
      <w:r>
        <w:rPr>
          <w:rFonts w:ascii="ＭＳ ゴシック" w:eastAsia="ＭＳ ゴシック" w:hAnsi="ＭＳ ゴシック" w:hint="eastAsia"/>
        </w:rPr>
        <w:t>主な施策等の実施効果を</w:t>
      </w:r>
      <w:r w:rsidR="00A16401">
        <w:rPr>
          <w:rFonts w:ascii="ＭＳ ゴシック" w:eastAsia="ＭＳ ゴシック" w:hAnsi="ＭＳ ゴシック" w:hint="eastAsia"/>
        </w:rPr>
        <w:t>点検評価</w:t>
      </w:r>
    </w:p>
    <w:p w:rsidR="00260D27" w:rsidRDefault="00260D27" w:rsidP="00260D27">
      <w:pPr>
        <w:ind w:firstLineChars="135" w:firstLine="283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・点検評価結果に基づき、計画を柔軟に見直し</w:t>
      </w:r>
    </w:p>
    <w:p w:rsidR="00260D27" w:rsidRDefault="00A16401" w:rsidP="00260D27">
      <w:pPr>
        <w:rPr>
          <w:rFonts w:ascii="ＭＳ ゴシック" w:eastAsia="ＭＳ ゴシック" w:hAnsi="ＭＳ ゴシック"/>
        </w:rPr>
      </w:pPr>
      <w:r w:rsidRPr="00260D2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408" behindDoc="0" locked="0" layoutInCell="1" allowOverlap="1" wp14:anchorId="6A81ECF3" wp14:editId="156C0763">
            <wp:simplePos x="0" y="0"/>
            <wp:positionH relativeFrom="column">
              <wp:posOffset>647700</wp:posOffset>
            </wp:positionH>
            <wp:positionV relativeFrom="paragraph">
              <wp:posOffset>27940</wp:posOffset>
            </wp:positionV>
            <wp:extent cx="4411822" cy="38195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22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27" w:rsidRDefault="00260D27" w:rsidP="00260D27">
      <w:pPr>
        <w:rPr>
          <w:rFonts w:ascii="ＭＳ ゴシック" w:eastAsia="ＭＳ ゴシック" w:hAnsi="ＭＳ ゴシック"/>
        </w:rPr>
      </w:pPr>
    </w:p>
    <w:p w:rsidR="00260D27" w:rsidRDefault="00260D2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</w:p>
    <w:p w:rsidR="00581D9C" w:rsidRPr="00260D27" w:rsidRDefault="00581D9C" w:rsidP="00581D9C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３．</w:t>
      </w:r>
      <w:r w:rsidRPr="00260D27">
        <w:rPr>
          <w:rFonts w:ascii="ＭＳ ゴシック" w:eastAsia="ＭＳ ゴシック" w:hAnsi="ＭＳ ゴシック" w:hint="eastAsia"/>
          <w:color w:val="000000"/>
          <w:sz w:val="22"/>
        </w:rPr>
        <w:t>点検評価結果の概要</w:t>
      </w:r>
    </w:p>
    <w:p w:rsidR="00581D9C" w:rsidRPr="00D769E2" w:rsidRDefault="00581D9C" w:rsidP="00581D9C">
      <w:pPr>
        <w:rPr>
          <w:rFonts w:ascii="ＭＳ ゴシック" w:eastAsia="ＭＳ ゴシック" w:hAnsi="ＭＳ ゴシック"/>
          <w:sz w:val="22"/>
        </w:rPr>
      </w:pPr>
      <w:r w:rsidRPr="00D769E2">
        <w:rPr>
          <w:rFonts w:ascii="ＭＳ ゴシック" w:eastAsia="ＭＳ ゴシック" w:hAnsi="ＭＳ ゴシック" w:hint="eastAsia"/>
          <w:sz w:val="22"/>
        </w:rPr>
        <w:t>＜</w:t>
      </w:r>
      <w:r>
        <w:rPr>
          <w:rFonts w:ascii="ＭＳ ゴシック" w:eastAsia="ＭＳ ゴシック" w:hAnsi="ＭＳ ゴシック" w:hint="eastAsia"/>
          <w:sz w:val="22"/>
        </w:rPr>
        <w:t>毎年度サイクル点検評価結果</w:t>
      </w:r>
      <w:r w:rsidRPr="00D769E2">
        <w:rPr>
          <w:rFonts w:ascii="ＭＳ ゴシック" w:eastAsia="ＭＳ ゴシック" w:hAnsi="ＭＳ ゴシック" w:hint="eastAsia"/>
          <w:sz w:val="22"/>
        </w:rPr>
        <w:t>＞</w:t>
      </w:r>
    </w:p>
    <w:p w:rsidR="00581D9C" w:rsidRPr="007B0753" w:rsidRDefault="00581D9C" w:rsidP="00581D9C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・施策事業は概ね順調に進んでいる。</w:t>
      </w:r>
    </w:p>
    <w:p w:rsidR="0073604F" w:rsidRPr="007B0753" w:rsidRDefault="0073604F" w:rsidP="0073604F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3604F" w:rsidRPr="007B0753" w:rsidRDefault="0073604F" w:rsidP="0073604F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 w:rsidR="0041141D">
        <w:rPr>
          <w:rFonts w:ascii="ＭＳ ゴシック" w:eastAsia="ＭＳ ゴシック" w:hAnsi="ＭＳ ゴシック" w:hint="eastAsia"/>
          <w:sz w:val="22"/>
        </w:rPr>
        <w:t>複数年</w:t>
      </w:r>
      <w:r w:rsidRPr="007B0753">
        <w:rPr>
          <w:rFonts w:ascii="ＭＳ ゴシック" w:eastAsia="ＭＳ ゴシック" w:hAnsi="ＭＳ ゴシック" w:hint="eastAsia"/>
          <w:sz w:val="22"/>
        </w:rPr>
        <w:t>サイクル点検評価結果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＞</w:t>
      </w:r>
    </w:p>
    <w:p w:rsidR="0073604F" w:rsidRPr="007B0753" w:rsidRDefault="0073604F" w:rsidP="0073604F">
      <w:pPr>
        <w:widowControl/>
        <w:ind w:firstLineChars="200" w:firstLine="44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・一部を除き、施策は概ね順調に進んでいる。</w:t>
      </w:r>
    </w:p>
    <w:p w:rsidR="001F46DC" w:rsidRPr="007B0753" w:rsidRDefault="00581D9C" w:rsidP="007B0753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・点検評価の</w:t>
      </w:r>
      <w:r w:rsidR="0041141D">
        <w:rPr>
          <w:rFonts w:ascii="ＭＳ ゴシック" w:eastAsia="ＭＳ ゴシック" w:hAnsi="ＭＳ ゴシック" w:hint="eastAsia"/>
          <w:color w:val="000000"/>
          <w:sz w:val="22"/>
        </w:rPr>
        <w:t>方法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については概ね適正であるが、取組指標の設定等について一部検討が必要である。</w:t>
      </w:r>
    </w:p>
    <w:p w:rsidR="009F4249" w:rsidRPr="007B0753" w:rsidRDefault="001F46DC" w:rsidP="007B0753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・計画どおり進捗していない施策については、取組みの改善の検討等がされていることを確認した。</w:t>
      </w:r>
    </w:p>
    <w:p w:rsidR="00DD3D20" w:rsidRPr="007B0753" w:rsidRDefault="00DD3D20" w:rsidP="00DD3D20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・国や府の各種計画と整合を図り施策を進めていく</w:t>
      </w:r>
      <w:r w:rsidR="00FE13B4" w:rsidRPr="007B0753">
        <w:rPr>
          <w:rFonts w:ascii="ＭＳ ゴシック" w:eastAsia="ＭＳ ゴシック" w:hAnsi="ＭＳ ゴシック" w:hint="eastAsia"/>
          <w:color w:val="000000"/>
          <w:sz w:val="22"/>
        </w:rPr>
        <w:t>必要が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ある。</w:t>
      </w:r>
    </w:p>
    <w:p w:rsidR="00DD3D20" w:rsidRDefault="00DD3D20" w:rsidP="00581D9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Pr="001F46DC" w:rsidRDefault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４．環境総合計画の見直しについて（意見具申）</w:t>
      </w: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805F16">
        <w:rPr>
          <w:rFonts w:ascii="ＭＳ ゴシック" w:eastAsia="ＭＳ ゴシック" w:hAnsi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08E86" wp14:editId="1DA87BD4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915025" cy="14573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F7" w:rsidRDefault="007849F7" w:rsidP="007B075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 w:rightChars="-27" w:right="-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各施策の効果がより一層高まるよう、施策・事業の方向性や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内容、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工程について見直しを検討すること。</w:t>
                            </w:r>
                          </w:p>
                          <w:p w:rsidR="007849F7" w:rsidRPr="007A4D18" w:rsidRDefault="0041141D" w:rsidP="007B075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 w:rightChars="-27" w:right="-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気候変動の影響への適応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の基本的方向性を盛り込む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の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改定を行った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「大</w:t>
                            </w:r>
                            <w:r w:rsidR="007849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阪府地球温暖化対策実行計画（区域施策編）」をはじめ、各種計画等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と整合を図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ること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75pt;margin-top:6.75pt;width:465.75pt;height:11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" strokeweight="1pt">
                <v:textbox>
                  <w:txbxContent>
                    <w:p w:rsidR="007849F7" w:rsidRDefault="007849F7" w:rsidP="007B0753">
                      <w:pPr>
                        <w:pStyle w:val="a6"/>
                        <w:widowControl/>
                        <w:numPr>
                          <w:ilvl w:val="0"/>
                          <w:numId w:val="9"/>
                        </w:numPr>
                        <w:spacing w:line="360" w:lineRule="auto"/>
                        <w:ind w:leftChars="0" w:rightChars="-27" w:right="-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</w:rPr>
                      </w:pP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各施策の効果がより一層高まるよう、施策・事業の方向性や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内容、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工程について見直しを検討すること。</w:t>
                      </w:r>
                    </w:p>
                    <w:p w:rsidR="007849F7" w:rsidRPr="007A4D18" w:rsidRDefault="0041141D" w:rsidP="007B0753">
                      <w:pPr>
                        <w:pStyle w:val="a6"/>
                        <w:widowControl/>
                        <w:numPr>
                          <w:ilvl w:val="0"/>
                          <w:numId w:val="9"/>
                        </w:numPr>
                        <w:spacing w:line="360" w:lineRule="auto"/>
                        <w:ind w:leftChars="0" w:rightChars="-27" w:right="-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</w:rPr>
                      </w:pP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気候変動の影響への適応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の基本的方向性を盛り込む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の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改定を行った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「大</w:t>
                      </w:r>
                      <w:r w:rsidR="007849F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阪府地球温暖化対策実行計画（区域施策編）」をはじめ、各種計画等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と整合を図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ること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581D9C" w:rsidRDefault="00581D9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</w:p>
    <w:p w:rsidR="00064E71" w:rsidRPr="007849F7" w:rsidRDefault="00500A6B" w:rsidP="007849F7">
      <w:pPr>
        <w:ind w:left="271" w:hangingChars="129" w:hanging="271"/>
        <w:rPr>
          <w:rFonts w:ascii="ＭＳ ゴシック" w:eastAsia="ＭＳ ゴシック" w:hAnsi="ＭＳ ゴシック"/>
          <w:color w:val="000000"/>
          <w:sz w:val="22"/>
        </w:rPr>
      </w:pPr>
      <w:r w:rsidRPr="00500A6B">
        <w:rPr>
          <w:rFonts w:asciiTheme="majorEastAsia" w:eastAsiaTheme="majorEastAsia" w:hAnsiTheme="majorEastAsia" w:hint="eastAsia"/>
        </w:rPr>
        <w:lastRenderedPageBreak/>
        <w:t>（参考）</w:t>
      </w:r>
      <w:r>
        <w:rPr>
          <w:rFonts w:asciiTheme="majorEastAsia" w:eastAsiaTheme="majorEastAsia" w:hAnsiTheme="majorEastAsia" w:hint="eastAsia"/>
        </w:rPr>
        <w:t>環境総合計画の</w:t>
      </w:r>
      <w:r w:rsidR="007D09B6">
        <w:rPr>
          <w:rFonts w:asciiTheme="majorEastAsia" w:eastAsiaTheme="majorEastAsia" w:hAnsiTheme="majorEastAsia" w:hint="eastAsia"/>
        </w:rPr>
        <w:t>分野構成</w:t>
      </w:r>
      <w:r>
        <w:rPr>
          <w:rFonts w:asciiTheme="majorEastAsia" w:eastAsiaTheme="majorEastAsia" w:hAnsiTheme="majorEastAsia" w:hint="eastAsia"/>
        </w:rPr>
        <w:t>について</w:t>
      </w:r>
    </w:p>
    <w:p w:rsidR="00BC2D8A" w:rsidRDefault="00BC2D8A">
      <w:pPr>
        <w:widowControl/>
        <w:jc w:val="left"/>
      </w:pPr>
    </w:p>
    <w:p w:rsidR="007D09B6" w:rsidRDefault="007D09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0" locked="0" layoutInCell="1" allowOverlap="1" wp14:anchorId="0ED37DDC" wp14:editId="629026AE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718820" cy="6438900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7456" behindDoc="0" locked="0" layoutInCell="1" allowOverlap="1" wp14:anchorId="3BD4BB75" wp14:editId="6B2847E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4777890" cy="5981225"/>
            <wp:effectExtent l="0" t="0" r="381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90" cy="59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</w:rPr>
        <w:br w:type="page"/>
      </w:r>
    </w:p>
    <w:p w:rsidR="00BC2D8A" w:rsidRPr="00500A6B" w:rsidRDefault="00BC2D8A" w:rsidP="00BC2D8A">
      <w:pPr>
        <w:widowControl/>
        <w:jc w:val="left"/>
        <w:rPr>
          <w:rFonts w:asciiTheme="majorEastAsia" w:eastAsiaTheme="majorEastAsia" w:hAnsiTheme="majorEastAsia"/>
        </w:rPr>
      </w:pPr>
      <w:r w:rsidRPr="00500A6B">
        <w:rPr>
          <w:rFonts w:asciiTheme="majorEastAsia" w:eastAsiaTheme="majorEastAsia" w:hAnsiTheme="majorEastAsia" w:hint="eastAsia"/>
        </w:rPr>
        <w:t>（参考</w:t>
      </w:r>
      <w:r w:rsidR="007849F7">
        <w:rPr>
          <w:rFonts w:asciiTheme="majorEastAsia" w:eastAsiaTheme="majorEastAsia" w:hAnsiTheme="majorEastAsia" w:hint="eastAsia"/>
        </w:rPr>
        <w:t>３</w:t>
      </w:r>
      <w:r w:rsidRPr="00500A6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環境総合計画の</w:t>
      </w:r>
      <w:r w:rsidR="00424823">
        <w:rPr>
          <w:rFonts w:asciiTheme="majorEastAsia" w:eastAsiaTheme="majorEastAsia" w:hAnsiTheme="majorEastAsia" w:hint="eastAsia"/>
        </w:rPr>
        <w:t>施策体系</w:t>
      </w:r>
      <w:r>
        <w:rPr>
          <w:rFonts w:asciiTheme="majorEastAsia" w:eastAsiaTheme="majorEastAsia" w:hAnsiTheme="majorEastAsia" w:hint="eastAsia"/>
        </w:rPr>
        <w:t>について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620"/>
        <w:gridCol w:w="5477"/>
      </w:tblGrid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shd w:val="pct12" w:color="000000" w:fill="D9D9D9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分野</w:t>
            </w:r>
          </w:p>
        </w:tc>
        <w:tc>
          <w:tcPr>
            <w:tcW w:w="620" w:type="dxa"/>
            <w:shd w:val="pct12" w:color="auto" w:fill="D9D9D9" w:themeFill="background1" w:themeFillShade="D9"/>
            <w:noWrap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施策NO.</w:t>
            </w:r>
          </w:p>
        </w:tc>
        <w:tc>
          <w:tcPr>
            <w:tcW w:w="5477" w:type="dxa"/>
            <w:shd w:val="pct12" w:color="000000" w:fill="D9D9D9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施策名称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Ⅰ　府民の参加・行動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効果的な情報発信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環境教育・学習の推進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行動を支援する仕組みの充実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Ⅱ-1　低炭素・省エネルギー社会の構築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低炭素化の推進（家庭）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低炭素化・温室効果ガス排出削減の推進（産業・業務）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低炭素化の推進（住宅・建築物）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低炭素化の推進（運輸・交通）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再生可能エネルギー等の普及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森林整備によるＣＯ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吸収の推進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地球温暖化に対する適応策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ヒートアイランド現象の緩和　※33再掲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Ⅱ-2　資源循環型社会の構築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再生原料・再生可能資源の利用促進、リサイクル率の向上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廃棄物排出量の削減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廃棄物の適正処理の徹底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Ⅱ-3　全てのいのちが共生する社会の構築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生物多様性の社会への浸透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生息環境の保全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生息環境の再生・創造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Ⅱ-4　健康で安心して暮らせる社会の構築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良好な大気環境を確保するために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固定発生源対策の推進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自動車排ガス対策の推進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光化学オキシダント・ＳＰＭ対策の推進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PM2.5対策の推進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アスベスト飛散防止対策の推進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良好な水環境を確保するために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水質汚濁負荷量の削減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大阪湾の環境改善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水循環の保全・再生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化学物質のリスク管理を推進するために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環境リスクの高い化学物質の排出削減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化学物質に関するリスクコミュニケーションの推進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残留性有機汚染物質や汚染土壌等の適正管理・処理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Ⅲ　魅力と活力ある快適な地域づくりの推進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緑と水辺の保全と創造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魅力ある景観の形成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歴史的・文化的環境の形成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暮らしやすい快適な都市環境の確保（騒音・振動の防止）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暮らしやすい快適な都市環境の確保（ヒートアイランド現象の緩和）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暮らしやすい快適な都市環境の確保（悪臭の防止）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暮らしやすい快適な都市環境の確保（良好な住環境の確保）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Ⅳ　施策推進にあたっての視点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良好な環境を支える都市構造への転換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産業のグリーン化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環境関連産業の成長促進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地域主権の確立・広域連携の推進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Ⅴ　その他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（共通的事項）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府自らの事務事業活動における環境配慮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環境影響評価制度の推進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環境監視・調査研究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環境保健対策及び公害紛争処理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国際協力</w:t>
            </w:r>
          </w:p>
        </w:tc>
      </w:tr>
    </w:tbl>
    <w:p w:rsidR="00742146" w:rsidRPr="00BC2D8A" w:rsidRDefault="00742146"/>
    <w:sectPr w:rsidR="00742146" w:rsidRPr="00BC2D8A" w:rsidSect="008A0E07">
      <w:footerReference w:type="default" r:id="rId12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9C" w:rsidRDefault="00581D9C" w:rsidP="00847495">
      <w:r>
        <w:separator/>
      </w:r>
    </w:p>
  </w:endnote>
  <w:endnote w:type="continuationSeparator" w:id="0">
    <w:p w:rsidR="00581D9C" w:rsidRDefault="00581D9C" w:rsidP="008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042581"/>
      <w:docPartObj>
        <w:docPartGallery w:val="Page Numbers (Bottom of Page)"/>
        <w:docPartUnique/>
      </w:docPartObj>
    </w:sdtPr>
    <w:sdtEndPr/>
    <w:sdtContent>
      <w:p w:rsidR="00581D9C" w:rsidRDefault="00581D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93" w:rsidRPr="00D36A93">
          <w:rPr>
            <w:noProof/>
            <w:lang w:val="ja-JP"/>
          </w:rPr>
          <w:t>1</w:t>
        </w:r>
        <w:r>
          <w:fldChar w:fldCharType="end"/>
        </w:r>
      </w:p>
    </w:sdtContent>
  </w:sdt>
  <w:p w:rsidR="00581D9C" w:rsidRDefault="00581D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9C" w:rsidRDefault="00581D9C" w:rsidP="00847495">
      <w:r>
        <w:separator/>
      </w:r>
    </w:p>
  </w:footnote>
  <w:footnote w:type="continuationSeparator" w:id="0">
    <w:p w:rsidR="00581D9C" w:rsidRDefault="00581D9C" w:rsidP="008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43"/>
    <w:multiLevelType w:val="hybridMultilevel"/>
    <w:tmpl w:val="7098E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CE5DB3"/>
    <w:multiLevelType w:val="hybridMultilevel"/>
    <w:tmpl w:val="387AE79A"/>
    <w:lvl w:ilvl="0" w:tplc="17D0D808">
      <w:numFmt w:val="bullet"/>
      <w:lvlText w:val="・"/>
      <w:lvlJc w:val="left"/>
      <w:pPr>
        <w:ind w:left="1100" w:hanging="6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27150AF6"/>
    <w:multiLevelType w:val="hybridMultilevel"/>
    <w:tmpl w:val="78B669EE"/>
    <w:lvl w:ilvl="0" w:tplc="7078354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7D44E7"/>
    <w:multiLevelType w:val="hybridMultilevel"/>
    <w:tmpl w:val="1FA0C19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2EA93EA5"/>
    <w:multiLevelType w:val="hybridMultilevel"/>
    <w:tmpl w:val="45B47FF6"/>
    <w:lvl w:ilvl="0" w:tplc="7078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1F00BA"/>
    <w:multiLevelType w:val="hybridMultilevel"/>
    <w:tmpl w:val="1D9A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05464E"/>
    <w:multiLevelType w:val="hybridMultilevel"/>
    <w:tmpl w:val="7A548F7C"/>
    <w:lvl w:ilvl="0" w:tplc="F2D0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240EC3"/>
    <w:multiLevelType w:val="hybridMultilevel"/>
    <w:tmpl w:val="64E8AB78"/>
    <w:lvl w:ilvl="0" w:tplc="469C5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145813"/>
    <w:multiLevelType w:val="hybridMultilevel"/>
    <w:tmpl w:val="DDB29912"/>
    <w:lvl w:ilvl="0" w:tplc="70783548">
      <w:numFmt w:val="bullet"/>
      <w:lvlText w:val="○"/>
      <w:lvlJc w:val="left"/>
      <w:pPr>
        <w:ind w:left="110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775D06BD"/>
    <w:multiLevelType w:val="hybridMultilevel"/>
    <w:tmpl w:val="4B567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451CE4"/>
    <w:multiLevelType w:val="hybridMultilevel"/>
    <w:tmpl w:val="DEBC6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7"/>
    <w:rsid w:val="00056B92"/>
    <w:rsid w:val="00064E71"/>
    <w:rsid w:val="00077F55"/>
    <w:rsid w:val="000812DC"/>
    <w:rsid w:val="00090B89"/>
    <w:rsid w:val="0009586D"/>
    <w:rsid w:val="000B27C0"/>
    <w:rsid w:val="000E7499"/>
    <w:rsid w:val="000F060E"/>
    <w:rsid w:val="0010753F"/>
    <w:rsid w:val="00114F80"/>
    <w:rsid w:val="00117595"/>
    <w:rsid w:val="00117ED1"/>
    <w:rsid w:val="001C257F"/>
    <w:rsid w:val="001F46DC"/>
    <w:rsid w:val="00224AD0"/>
    <w:rsid w:val="002517A8"/>
    <w:rsid w:val="00260D27"/>
    <w:rsid w:val="00264E2F"/>
    <w:rsid w:val="002A71C2"/>
    <w:rsid w:val="002D6030"/>
    <w:rsid w:val="002E5F40"/>
    <w:rsid w:val="00382F77"/>
    <w:rsid w:val="00385025"/>
    <w:rsid w:val="003A1A37"/>
    <w:rsid w:val="003D012F"/>
    <w:rsid w:val="0041141D"/>
    <w:rsid w:val="00424823"/>
    <w:rsid w:val="004A7CCF"/>
    <w:rsid w:val="004B61D1"/>
    <w:rsid w:val="00500A6B"/>
    <w:rsid w:val="00505B9C"/>
    <w:rsid w:val="00535DDE"/>
    <w:rsid w:val="00581D9C"/>
    <w:rsid w:val="005B2E8C"/>
    <w:rsid w:val="005F0E07"/>
    <w:rsid w:val="0066507D"/>
    <w:rsid w:val="00665A76"/>
    <w:rsid w:val="00673DA6"/>
    <w:rsid w:val="00697A51"/>
    <w:rsid w:val="006A6D7E"/>
    <w:rsid w:val="006C0312"/>
    <w:rsid w:val="006E55F0"/>
    <w:rsid w:val="00714749"/>
    <w:rsid w:val="00720CB8"/>
    <w:rsid w:val="0073604F"/>
    <w:rsid w:val="00742146"/>
    <w:rsid w:val="00757B28"/>
    <w:rsid w:val="00766B5B"/>
    <w:rsid w:val="007849F7"/>
    <w:rsid w:val="007A4D18"/>
    <w:rsid w:val="007B0753"/>
    <w:rsid w:val="007C6773"/>
    <w:rsid w:val="007D09B6"/>
    <w:rsid w:val="007E610E"/>
    <w:rsid w:val="00805F16"/>
    <w:rsid w:val="00812F01"/>
    <w:rsid w:val="00847495"/>
    <w:rsid w:val="00857B6A"/>
    <w:rsid w:val="008607CD"/>
    <w:rsid w:val="008A0E07"/>
    <w:rsid w:val="008B46AD"/>
    <w:rsid w:val="008E1DDD"/>
    <w:rsid w:val="009220E4"/>
    <w:rsid w:val="00925549"/>
    <w:rsid w:val="00935BCE"/>
    <w:rsid w:val="009C54F6"/>
    <w:rsid w:val="009F4249"/>
    <w:rsid w:val="00A16401"/>
    <w:rsid w:val="00AA7E39"/>
    <w:rsid w:val="00AE0D47"/>
    <w:rsid w:val="00B51087"/>
    <w:rsid w:val="00B83003"/>
    <w:rsid w:val="00BA0083"/>
    <w:rsid w:val="00BB3E5A"/>
    <w:rsid w:val="00BC2D8A"/>
    <w:rsid w:val="00BC619C"/>
    <w:rsid w:val="00C73EBD"/>
    <w:rsid w:val="00C9754A"/>
    <w:rsid w:val="00D36A93"/>
    <w:rsid w:val="00D60438"/>
    <w:rsid w:val="00D769E2"/>
    <w:rsid w:val="00DA258E"/>
    <w:rsid w:val="00DD3D20"/>
    <w:rsid w:val="00DE2250"/>
    <w:rsid w:val="00DE323C"/>
    <w:rsid w:val="00E02386"/>
    <w:rsid w:val="00E02A80"/>
    <w:rsid w:val="00E73EE8"/>
    <w:rsid w:val="00E9466F"/>
    <w:rsid w:val="00EE1D54"/>
    <w:rsid w:val="00F155C4"/>
    <w:rsid w:val="00F218DF"/>
    <w:rsid w:val="00F464ED"/>
    <w:rsid w:val="00F55C1C"/>
    <w:rsid w:val="00F63866"/>
    <w:rsid w:val="00F67A3C"/>
    <w:rsid w:val="00F920C5"/>
    <w:rsid w:val="00FA5C8D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0945-5A93-4600-B529-A59914E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池田　桂周</cp:lastModifiedBy>
  <cp:revision>10</cp:revision>
  <cp:lastPrinted>2017-11-13T09:11:00Z</cp:lastPrinted>
  <dcterms:created xsi:type="dcterms:W3CDTF">2017-11-13T06:36:00Z</dcterms:created>
  <dcterms:modified xsi:type="dcterms:W3CDTF">2017-11-17T14:13:00Z</dcterms:modified>
</cp:coreProperties>
</file>