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AD" w:rsidRDefault="00AC53AD" w:rsidP="006F5621">
      <w:pPr>
        <w:rPr>
          <w:rFonts w:asciiTheme="majorEastAsia" w:eastAsiaTheme="majorEastAsia" w:hAnsiTheme="majorEastAsia"/>
          <w:sz w:val="22"/>
        </w:rPr>
      </w:pPr>
      <w:r>
        <w:rPr>
          <w:noProof/>
        </w:rPr>
        <mc:AlternateContent>
          <mc:Choice Requires="wps">
            <w:drawing>
              <wp:anchor distT="0" distB="0" distL="114300" distR="114300" simplePos="0" relativeHeight="251734016" behindDoc="0" locked="0" layoutInCell="1" allowOverlap="1" wp14:anchorId="00E6D72A" wp14:editId="32D9281F">
                <wp:simplePos x="0" y="0"/>
                <wp:positionH relativeFrom="column">
                  <wp:align>center</wp:align>
                </wp:positionH>
                <wp:positionV relativeFrom="paragraph">
                  <wp:posOffset>20955</wp:posOffset>
                </wp:positionV>
                <wp:extent cx="5829300" cy="419100"/>
                <wp:effectExtent l="57150" t="38100" r="76200" b="99060"/>
                <wp:wrapNone/>
                <wp:docPr id="39" name="額縁 39"/>
                <wp:cNvGraphicFramePr/>
                <a:graphic xmlns:a="http://schemas.openxmlformats.org/drawingml/2006/main">
                  <a:graphicData uri="http://schemas.microsoft.com/office/word/2010/wordprocessingShape">
                    <wps:wsp>
                      <wps:cNvSpPr/>
                      <wps:spPr>
                        <a:xfrm>
                          <a:off x="0" y="0"/>
                          <a:ext cx="5829300" cy="419100"/>
                        </a:xfrm>
                        <a:prstGeom prst="bevel">
                          <a:avLst/>
                        </a:prstGeom>
                      </wps:spPr>
                      <wps:style>
                        <a:lnRef idx="1">
                          <a:schemeClr val="accent2"/>
                        </a:lnRef>
                        <a:fillRef idx="2">
                          <a:schemeClr val="accent2"/>
                        </a:fillRef>
                        <a:effectRef idx="1">
                          <a:schemeClr val="accent2"/>
                        </a:effectRef>
                        <a:fontRef idx="minor">
                          <a:schemeClr val="dk1"/>
                        </a:fontRef>
                      </wps:style>
                      <wps:txbx>
                        <w:txbxContent>
                          <w:p w:rsidR="00AC53AD" w:rsidRPr="00516D64" w:rsidRDefault="00E85865" w:rsidP="00E8586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温泉利用施設の設備構造等の基準が改正</w:t>
                            </w:r>
                            <w:r w:rsidR="00AC53AD" w:rsidRPr="00516D64">
                              <w:rPr>
                                <w:rFonts w:ascii="HG丸ｺﾞｼｯｸM-PRO" w:eastAsia="HG丸ｺﾞｼｯｸM-PRO" w:hAnsi="HG丸ｺﾞｼｯｸM-PRO" w:hint="eastAsia"/>
                                <w:sz w:val="28"/>
                                <w:szCs w:val="28"/>
                              </w:rPr>
                              <w:t>されました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39" o:spid="_x0000_s1026" type="#_x0000_t84" style="position:absolute;left:0;text-align:left;margin-left:0;margin-top:1.65pt;width:459pt;height:33pt;z-index:251734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" fillcolor="#dfa7a6 [1621]" strokecolor="#bc4542 [3045]">
                <v:fill color2="#f5e4e4 [501]" rotate="t" angle="180" colors="0 #ffa2a1;22938f #ffbebd;1 #ffe5e5" focus="100%" type="gradient"/>
                <v:shadow on="t" color="black" opacity="24903f" origin=",.5" offset="0,.55556mm"/>
                <v:textbox style="mso-fit-shape-to-text:t">
                  <w:txbxContent>
                    <w:p w:rsidR="00AC53AD" w:rsidRPr="00516D64" w:rsidRDefault="00E85865" w:rsidP="00E8586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温泉利用施設の設備構造等の基準が改正</w:t>
                      </w:r>
                      <w:r w:rsidR="00AC53AD" w:rsidRPr="00516D64">
                        <w:rPr>
                          <w:rFonts w:ascii="HG丸ｺﾞｼｯｸM-PRO" w:eastAsia="HG丸ｺﾞｼｯｸM-PRO" w:hAnsi="HG丸ｺﾞｼｯｸM-PRO" w:hint="eastAsia"/>
                          <w:sz w:val="28"/>
                          <w:szCs w:val="28"/>
                        </w:rPr>
                        <w:t>されました</w:t>
                      </w:r>
                    </w:p>
                  </w:txbxContent>
                </v:textbox>
              </v:shape>
            </w:pict>
          </mc:Fallback>
        </mc:AlternateContent>
      </w:r>
    </w:p>
    <w:p w:rsidR="00AC53AD" w:rsidRDefault="00AC53AD" w:rsidP="006F5621">
      <w:pPr>
        <w:rPr>
          <w:rFonts w:asciiTheme="majorEastAsia" w:eastAsiaTheme="majorEastAsia" w:hAnsiTheme="majorEastAsia"/>
          <w:sz w:val="22"/>
        </w:rPr>
      </w:pPr>
    </w:p>
    <w:p w:rsidR="00AC53AD" w:rsidRDefault="00AC53AD" w:rsidP="006F5621">
      <w:pPr>
        <w:rPr>
          <w:rFonts w:asciiTheme="majorEastAsia" w:eastAsiaTheme="majorEastAsia" w:hAnsiTheme="majorEastAsia"/>
          <w:sz w:val="22"/>
        </w:rPr>
      </w:pPr>
    </w:p>
    <w:p w:rsidR="00AC53AD" w:rsidRDefault="00AC53AD" w:rsidP="006F5621">
      <w:pPr>
        <w:rPr>
          <w:rFonts w:asciiTheme="majorEastAsia" w:eastAsiaTheme="majorEastAsia" w:hAnsiTheme="majorEastAsia"/>
          <w:sz w:val="22"/>
        </w:rPr>
      </w:pPr>
    </w:p>
    <w:p w:rsidR="00E85865" w:rsidRDefault="00E85865" w:rsidP="000A348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温泉法第１５</w:t>
      </w:r>
      <w:r w:rsidR="00AC53AD" w:rsidRPr="00EB567B">
        <w:rPr>
          <w:rFonts w:ascii="HG丸ｺﾞｼｯｸM-PRO" w:eastAsia="HG丸ｺﾞｼｯｸM-PRO" w:hAnsi="HG丸ｺﾞｼｯｸM-PRO" w:hint="eastAsia"/>
        </w:rPr>
        <w:t>条第１項に基づき、温泉を公共の浴用又は飲用に使用する場合は、</w:t>
      </w:r>
      <w:r>
        <w:rPr>
          <w:rFonts w:ascii="HG丸ｺﾞｼｯｸM-PRO" w:eastAsia="HG丸ｺﾞｼｯｸM-PRO" w:hAnsi="HG丸ｺﾞｼｯｸM-PRO" w:hint="eastAsia"/>
        </w:rPr>
        <w:t>都道府県知事に申請してその許可を受けなければなりませんが、同条第3項では都道府県知事は温泉の成分が衛生上有害であると認められる場合には、当該許可を不許可とすることができるとされています。</w:t>
      </w:r>
      <w:bookmarkStart w:id="0" w:name="_GoBack"/>
      <w:bookmarkEnd w:id="0"/>
      <w:r w:rsidR="00E12DB0">
        <w:rPr>
          <w:rFonts w:ascii="HG丸ｺﾞｼｯｸM-PRO" w:eastAsia="HG丸ｺﾞｼｯｸM-PRO" w:hAnsi="HG丸ｺﾞｼｯｸM-PRO" w:hint="eastAsia"/>
        </w:rPr>
        <w:t>本許可にあたる基準として、</w:t>
      </w:r>
      <w:r w:rsidR="004D3D15">
        <w:rPr>
          <w:rFonts w:ascii="HG丸ｺﾞｼｯｸM-PRO" w:eastAsia="HG丸ｺﾞｼｯｸM-PRO" w:hAnsi="HG丸ｺﾞｼｯｸM-PRO" w:hint="eastAsia"/>
        </w:rPr>
        <w:t>環境省は</w:t>
      </w:r>
      <w:r w:rsidR="00042536">
        <w:rPr>
          <w:rFonts w:ascii="HG丸ｺﾞｼｯｸM-PRO" w:eastAsia="HG丸ｺﾞｼｯｸM-PRO" w:hAnsi="HG丸ｺﾞｼｯｸM-PRO" w:hint="eastAsia"/>
        </w:rPr>
        <w:t>昭和５０年</w:t>
      </w:r>
      <w:r w:rsidR="004D3D15">
        <w:rPr>
          <w:rFonts w:ascii="HG丸ｺﾞｼｯｸM-PRO" w:eastAsia="HG丸ｺﾞｼｯｸM-PRO" w:hAnsi="HG丸ｺﾞｼｯｸM-PRO" w:hint="eastAsia"/>
        </w:rPr>
        <w:t>に「温泉の利用基準について」を発出</w:t>
      </w:r>
      <w:r w:rsidR="00042536">
        <w:rPr>
          <w:rFonts w:ascii="HG丸ｺﾞｼｯｸM-PRO" w:eastAsia="HG丸ｺﾞｼｯｸM-PRO" w:hAnsi="HG丸ｺﾞｼｯｸM-PRO" w:hint="eastAsia"/>
        </w:rPr>
        <w:t>、平成１８年に</w:t>
      </w:r>
      <w:r w:rsidR="004D3D15">
        <w:rPr>
          <w:rFonts w:ascii="HG丸ｺﾞｼｯｸM-PRO" w:eastAsia="HG丸ｺﾞｼｯｸM-PRO" w:hAnsi="HG丸ｺﾞｼｯｸM-PRO" w:hint="eastAsia"/>
        </w:rPr>
        <w:t>「公共の浴用に供する場合の温泉利用施設の設備構造等に関する基準」</w:t>
      </w:r>
      <w:r w:rsidR="00042536">
        <w:rPr>
          <w:rFonts w:ascii="HG丸ｺﾞｼｯｸM-PRO" w:eastAsia="HG丸ｺﾞｼｯｸM-PRO" w:hAnsi="HG丸ｺﾞｼｯｸM-PRO" w:hint="eastAsia"/>
        </w:rPr>
        <w:t>を策定しましたが、その後も温泉法の範囲外である貯湯槽や配管設備といった場所において温泉由来の硫化水素による中毒事故が発生しているほか、平成２６年には浴室内で硫化水素中毒が疑われる事故が発生しました。</w:t>
      </w:r>
    </w:p>
    <w:p w:rsidR="00AC53AD" w:rsidRDefault="00042536" w:rsidP="00042536">
      <w:pPr>
        <w:ind w:firstLineChars="100" w:firstLine="210"/>
      </w:pPr>
      <w:r>
        <w:rPr>
          <w:rFonts w:ascii="HG丸ｺﾞｼｯｸM-PRO" w:eastAsia="HG丸ｺﾞｼｯｸM-PRO" w:hAnsi="HG丸ｺﾞｼｯｸM-PRO" w:hint="eastAsia"/>
        </w:rPr>
        <w:t>これらを踏まえ、</w:t>
      </w:r>
      <w:r w:rsidR="00AC53AD" w:rsidRPr="00EB567B">
        <w:rPr>
          <w:rFonts w:ascii="HG丸ｺﾞｼｯｸM-PRO" w:eastAsia="HG丸ｺﾞｼｯｸM-PRO" w:hAnsi="HG丸ｺﾞｼｯｸM-PRO" w:hint="eastAsia"/>
        </w:rPr>
        <w:t>この度、「</w:t>
      </w:r>
      <w:r>
        <w:rPr>
          <w:rFonts w:ascii="HG丸ｺﾞｼｯｸM-PRO" w:eastAsia="HG丸ｺﾞｼｯｸM-PRO" w:hAnsi="HG丸ｺﾞｼｯｸM-PRO" w:hint="eastAsia"/>
        </w:rPr>
        <w:t>公共の浴用に供する場合の温泉利用施設の設備構造等に関する基準」が平成２９</w:t>
      </w:r>
      <w:r w:rsidR="00AC53AD" w:rsidRPr="00EB567B">
        <w:rPr>
          <w:rFonts w:ascii="HG丸ｺﾞｼｯｸM-PRO" w:eastAsia="HG丸ｺﾞｼｯｸM-PRO" w:hAnsi="HG丸ｺﾞｼｯｸM-PRO" w:hint="eastAsia"/>
        </w:rPr>
        <w:t>年</w:t>
      </w:r>
      <w:r>
        <w:rPr>
          <w:rFonts w:ascii="HG丸ｺﾞｼｯｸM-PRO" w:eastAsia="HG丸ｺﾞｼｯｸM-PRO" w:hAnsi="HG丸ｺﾞｼｯｸM-PRO" w:hint="eastAsia"/>
        </w:rPr>
        <w:t>９</w:t>
      </w:r>
      <w:r w:rsidR="00AC53AD" w:rsidRPr="00EB567B">
        <w:rPr>
          <w:rFonts w:ascii="HG丸ｺﾞｼｯｸM-PRO" w:eastAsia="HG丸ｺﾞｼｯｸM-PRO" w:hAnsi="HG丸ｺﾞｼｯｸM-PRO" w:hint="eastAsia"/>
        </w:rPr>
        <w:t>月１日付け</w:t>
      </w:r>
      <w:r w:rsidR="00AC53AD">
        <w:rPr>
          <w:rFonts w:ascii="HG丸ｺﾞｼｯｸM-PRO" w:eastAsia="HG丸ｺﾞｼｯｸM-PRO" w:hAnsi="HG丸ｺﾞｼｯｸM-PRO" w:hint="eastAsia"/>
        </w:rPr>
        <w:t>で</w:t>
      </w:r>
      <w:r>
        <w:rPr>
          <w:rFonts w:ascii="HG丸ｺﾞｼｯｸM-PRO" w:eastAsia="HG丸ｺﾞｼｯｸM-PRO" w:hAnsi="HG丸ｺﾞｼｯｸM-PRO" w:hint="eastAsia"/>
        </w:rPr>
        <w:t>改正され、併せて、本基準の運用にあたり参考となる「温泉利用施設における硫化水素中毒事故防止のためのガイドライン」が策定</w:t>
      </w:r>
      <w:r w:rsidR="00AC53AD" w:rsidRPr="00EB567B">
        <w:rPr>
          <w:rFonts w:ascii="HG丸ｺﾞｼｯｸM-PRO" w:eastAsia="HG丸ｺﾞｼｯｸM-PRO" w:hAnsi="HG丸ｺﾞｼｯｸM-PRO" w:hint="eastAsia"/>
        </w:rPr>
        <w:t>されました。</w:t>
      </w:r>
      <w:r w:rsidR="00856D5D">
        <w:rPr>
          <w:rFonts w:ascii="HG丸ｺﾞｼｯｸM-PRO" w:eastAsia="HG丸ｺﾞｼｯｸM-PRO" w:hAnsi="HG丸ｺﾞｼｯｸM-PRO" w:hint="eastAsia"/>
        </w:rPr>
        <w:t>（平成２９年10月1日施行）</w:t>
      </w:r>
    </w:p>
    <w:p w:rsidR="00AC53AD" w:rsidRDefault="00AC53AD" w:rsidP="006F5621">
      <w:pPr>
        <w:rPr>
          <w:rFonts w:asciiTheme="majorEastAsia" w:eastAsiaTheme="majorEastAsia" w:hAnsiTheme="majorEastAsia"/>
          <w:sz w:val="22"/>
        </w:rPr>
      </w:pPr>
    </w:p>
    <w:p w:rsidR="00AC53AD" w:rsidRDefault="00AC53AD" w:rsidP="006F5621">
      <w:pPr>
        <w:rPr>
          <w:rFonts w:asciiTheme="majorEastAsia" w:eastAsiaTheme="majorEastAsia" w:hAnsiTheme="majorEastAsia"/>
          <w:sz w:val="22"/>
        </w:rPr>
      </w:pPr>
      <w:r>
        <w:rPr>
          <w:noProof/>
        </w:rPr>
        <mc:AlternateContent>
          <mc:Choice Requires="wps">
            <w:drawing>
              <wp:anchor distT="0" distB="0" distL="114300" distR="114300" simplePos="0" relativeHeight="251735040" behindDoc="0" locked="0" layoutInCell="1" allowOverlap="1" wp14:anchorId="10273660" wp14:editId="4B5DB1A7">
                <wp:simplePos x="0" y="0"/>
                <wp:positionH relativeFrom="column">
                  <wp:posOffset>-28575</wp:posOffset>
                </wp:positionH>
                <wp:positionV relativeFrom="paragraph">
                  <wp:posOffset>114300</wp:posOffset>
                </wp:positionV>
                <wp:extent cx="1028700" cy="385920"/>
                <wp:effectExtent l="57150" t="38100" r="76200" b="90805"/>
                <wp:wrapNone/>
                <wp:docPr id="41" name="1 つの角を切り取った四角形 41"/>
                <wp:cNvGraphicFramePr/>
                <a:graphic xmlns:a="http://schemas.openxmlformats.org/drawingml/2006/main">
                  <a:graphicData uri="http://schemas.microsoft.com/office/word/2010/wordprocessingShape">
                    <wps:wsp>
                      <wps:cNvSpPr/>
                      <wps:spPr>
                        <a:xfrm>
                          <a:off x="0" y="0"/>
                          <a:ext cx="1028700" cy="385920"/>
                        </a:xfrm>
                        <a:prstGeom prst="snip1Rect">
                          <a:avLst/>
                        </a:prstGeom>
                      </wps:spPr>
                      <wps:style>
                        <a:lnRef idx="1">
                          <a:schemeClr val="accent6"/>
                        </a:lnRef>
                        <a:fillRef idx="2">
                          <a:schemeClr val="accent6"/>
                        </a:fillRef>
                        <a:effectRef idx="1">
                          <a:schemeClr val="accent6"/>
                        </a:effectRef>
                        <a:fontRef idx="minor">
                          <a:schemeClr val="dk1"/>
                        </a:fontRef>
                      </wps:style>
                      <wps:txbx>
                        <w:txbxContent>
                          <w:p w:rsidR="00AC53AD" w:rsidRPr="00AC53AD" w:rsidRDefault="00605581" w:rsidP="004744B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趣　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切り取った四角形 41" o:spid="_x0000_s1027" style="position:absolute;left:0;text-align:left;margin-left:-2.25pt;margin-top:9pt;width:81pt;height:30.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8700,385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" adj="-11796480,,5400" path="m,l964379,r64321,64321l1028700,385920,,385920,,xe" fillcolor="#fbcaa2 [1625]" strokecolor="#f68c36 [3049]">
                <v:fill color2="#fdefe3 [505]" rotate="t" angle="180" colors="0 #ffbe86;22938f #ffd0aa;1 #ffebdb" focus="100%" type="gradient"/>
                <v:stroke joinstyle="miter"/>
                <v:shadow on="t" color="black" opacity="24903f" origin=",.5" offset="0,.55556mm"/>
                <v:formulas/>
                <v:path arrowok="t" o:connecttype="custom" o:connectlocs="0,0;964379,0;1028700,64321;1028700,385920;0,385920;0,0" o:connectangles="0,0,0,0,0,0" textboxrect="0,0,1028700,385920"/>
                <v:textbox>
                  <w:txbxContent>
                    <w:p w:rsidR="00AC53AD" w:rsidRPr="00AC53AD" w:rsidRDefault="00605581" w:rsidP="004744B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趣　旨</w:t>
                      </w:r>
                    </w:p>
                  </w:txbxContent>
                </v:textbox>
              </v:shape>
            </w:pict>
          </mc:Fallback>
        </mc:AlternateContent>
      </w:r>
    </w:p>
    <w:p w:rsidR="00605581" w:rsidRDefault="004E2409" w:rsidP="006F5621">
      <w:pPr>
        <w:rPr>
          <w:rFonts w:asciiTheme="majorEastAsia" w:eastAsiaTheme="majorEastAsia" w:hAnsiTheme="majorEastAsia" w:hint="eastAsia"/>
          <w:sz w:val="22"/>
        </w:rPr>
      </w:pPr>
      <w:r>
        <w:rPr>
          <w:noProof/>
        </w:rPr>
        <mc:AlternateContent>
          <mc:Choice Requires="wps">
            <w:drawing>
              <wp:inline distT="0" distB="0" distL="0" distR="0" wp14:anchorId="0EB481B1" wp14:editId="3DE02550">
                <wp:extent cx="6076950" cy="1704975"/>
                <wp:effectExtent l="57150" t="38100" r="76200" b="104775"/>
                <wp:docPr id="1" name="1 つの角を切り取った四角形 1"/>
                <wp:cNvGraphicFramePr/>
                <a:graphic xmlns:a="http://schemas.openxmlformats.org/drawingml/2006/main">
                  <a:graphicData uri="http://schemas.microsoft.com/office/word/2010/wordprocessingShape">
                    <wps:wsp>
                      <wps:cNvSpPr/>
                      <wps:spPr>
                        <a:xfrm>
                          <a:off x="0" y="0"/>
                          <a:ext cx="6076950" cy="1704975"/>
                        </a:xfrm>
                        <a:prstGeom prst="snip1Rect">
                          <a:avLst>
                            <a:gd name="adj" fmla="val 2874"/>
                          </a:avLst>
                        </a:prstGeom>
                      </wps:spPr>
                      <wps:style>
                        <a:lnRef idx="1">
                          <a:schemeClr val="accent1"/>
                        </a:lnRef>
                        <a:fillRef idx="2">
                          <a:schemeClr val="accent1"/>
                        </a:fillRef>
                        <a:effectRef idx="1">
                          <a:schemeClr val="accent1"/>
                        </a:effectRef>
                        <a:fontRef idx="minor">
                          <a:schemeClr val="dk1"/>
                        </a:fontRef>
                      </wps:style>
                      <wps:txbx>
                        <w:txbxContent>
                          <w:p w:rsidR="00605581" w:rsidRDefault="004E2409" w:rsidP="006135CA">
                            <w:pPr>
                              <w:rPr>
                                <w:rFonts w:ascii="HG丸ｺﾞｼｯｸM-PRO" w:eastAsia="HG丸ｺﾞｼｯｸM-PRO" w:hAnsi="HG丸ｺﾞｼｯｸM-PRO" w:hint="eastAsia"/>
                                <w:b/>
                                <w:sz w:val="22"/>
                              </w:rPr>
                            </w:pPr>
                            <w:r>
                              <w:rPr>
                                <w:rFonts w:ascii="HG丸ｺﾞｼｯｸM-PRO" w:eastAsia="HG丸ｺﾞｼｯｸM-PRO" w:hAnsi="HG丸ｺﾞｼｯｸM-PRO" w:hint="eastAsia"/>
                                <w:b/>
                                <w:sz w:val="22"/>
                              </w:rPr>
                              <w:t xml:space="preserve">　</w:t>
                            </w:r>
                          </w:p>
                          <w:p w:rsidR="006135CA" w:rsidRDefault="00605581" w:rsidP="006135CA">
                            <w:pPr>
                              <w:ind w:firstLineChars="200" w:firstLine="442"/>
                              <w:rPr>
                                <w:rFonts w:ascii="HG丸ｺﾞｼｯｸM-PRO" w:eastAsia="HG丸ｺﾞｼｯｸM-PRO" w:hAnsi="HG丸ｺﾞｼｯｸM-PRO" w:hint="eastAsia"/>
                                <w:b/>
                                <w:sz w:val="22"/>
                              </w:rPr>
                            </w:pPr>
                            <w:r w:rsidRPr="006135CA">
                              <w:rPr>
                                <w:rFonts w:ascii="HG丸ｺﾞｼｯｸM-PRO" w:eastAsia="HG丸ｺﾞｼｯｸM-PRO" w:hAnsi="HG丸ｺﾞｼｯｸM-PRO" w:hint="eastAsia"/>
                                <w:b/>
                                <w:color w:val="FF0000"/>
                                <w:sz w:val="22"/>
                              </w:rPr>
                              <w:t>総硫黄</w:t>
                            </w:r>
                            <w:r w:rsidR="005B35EC">
                              <w:rPr>
                                <w:rFonts w:ascii="HG丸ｺﾞｼｯｸM-PRO" w:eastAsia="HG丸ｺﾞｼｯｸM-PRO" w:hAnsi="HG丸ｺﾞｼｯｸM-PRO" w:hint="eastAsia"/>
                                <w:b/>
                                <w:sz w:val="22"/>
                              </w:rPr>
                              <w:t>（硫化水素イオン、チオ</w:t>
                            </w:r>
                            <w:r>
                              <w:rPr>
                                <w:rFonts w:ascii="HG丸ｺﾞｼｯｸM-PRO" w:eastAsia="HG丸ｺﾞｼｯｸM-PRO" w:hAnsi="HG丸ｺﾞｼｯｸM-PRO" w:hint="eastAsia"/>
                                <w:b/>
                                <w:sz w:val="22"/>
                              </w:rPr>
                              <w:t>硫酸イオン及び遊離硫化水素に対応するもの）を</w:t>
                            </w:r>
                          </w:p>
                          <w:p w:rsidR="006135CA" w:rsidRDefault="00605581" w:rsidP="006135CA">
                            <w:pPr>
                              <w:ind w:firstLineChars="100" w:firstLine="221"/>
                              <w:rPr>
                                <w:rFonts w:ascii="HG丸ｺﾞｼｯｸM-PRO" w:eastAsia="HG丸ｺﾞｼｯｸM-PRO" w:hAnsi="HG丸ｺﾞｼｯｸM-PRO" w:hint="eastAsia"/>
                                <w:b/>
                                <w:sz w:val="22"/>
                              </w:rPr>
                            </w:pPr>
                            <w:r w:rsidRPr="006135CA">
                              <w:rPr>
                                <w:rFonts w:ascii="HG丸ｺﾞｼｯｸM-PRO" w:eastAsia="HG丸ｺﾞｼｯｸM-PRO" w:hAnsi="HG丸ｺﾞｼｯｸM-PRO" w:hint="eastAsia"/>
                                <w:b/>
                                <w:color w:val="FF0000"/>
                                <w:sz w:val="22"/>
                              </w:rPr>
                              <w:t>1キログラム中2ミリグラム以上含有する温泉</w:t>
                            </w:r>
                            <w:r>
                              <w:rPr>
                                <w:rFonts w:ascii="HG丸ｺﾞｼｯｸM-PRO" w:eastAsia="HG丸ｺﾞｼｯｸM-PRO" w:hAnsi="HG丸ｺﾞｼｯｸM-PRO" w:hint="eastAsia"/>
                                <w:b/>
                                <w:sz w:val="22"/>
                              </w:rPr>
                              <w:t>を、法第15条第1項の規定による</w:t>
                            </w:r>
                          </w:p>
                          <w:p w:rsidR="006135CA" w:rsidRDefault="00605581" w:rsidP="006135CA">
                            <w:pPr>
                              <w:ind w:firstLineChars="100" w:firstLine="221"/>
                              <w:rPr>
                                <w:rFonts w:ascii="HG丸ｺﾞｼｯｸM-PRO" w:eastAsia="HG丸ｺﾞｼｯｸM-PRO" w:hAnsi="HG丸ｺﾞｼｯｸM-PRO" w:hint="eastAsia"/>
                                <w:b/>
                                <w:sz w:val="22"/>
                              </w:rPr>
                            </w:pPr>
                            <w:r>
                              <w:rPr>
                                <w:rFonts w:ascii="HG丸ｺﾞｼｯｸM-PRO" w:eastAsia="HG丸ｺﾞｼｯｸM-PRO" w:hAnsi="HG丸ｺﾞｼｯｸM-PRO" w:hint="eastAsia"/>
                                <w:b/>
                                <w:sz w:val="22"/>
                              </w:rPr>
                              <w:t>許可を受けて公共の浴用又は飲用に供し、又は供しようとする者が順守すべき基準を</w:t>
                            </w:r>
                          </w:p>
                          <w:p w:rsidR="006135CA" w:rsidRDefault="00605581" w:rsidP="006135CA">
                            <w:pPr>
                              <w:ind w:firstLineChars="100" w:firstLine="221"/>
                              <w:rPr>
                                <w:rFonts w:ascii="HG丸ｺﾞｼｯｸM-PRO" w:eastAsia="HG丸ｺﾞｼｯｸM-PRO" w:hAnsi="HG丸ｺﾞｼｯｸM-PRO" w:hint="eastAsia"/>
                                <w:b/>
                                <w:sz w:val="22"/>
                              </w:rPr>
                            </w:pPr>
                            <w:r>
                              <w:rPr>
                                <w:rFonts w:ascii="HG丸ｺﾞｼｯｸM-PRO" w:eastAsia="HG丸ｺﾞｼｯｸM-PRO" w:hAnsi="HG丸ｺﾞｼｯｸM-PRO" w:hint="eastAsia"/>
                                <w:b/>
                                <w:sz w:val="22"/>
                              </w:rPr>
                              <w:t>定め、硫化水素が衛生上有害となった場合における事故の防止や利用者の安全確保を</w:t>
                            </w:r>
                          </w:p>
                          <w:p w:rsidR="004E2409" w:rsidRPr="004744B2" w:rsidRDefault="00605581" w:rsidP="006135CA">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図る。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1 つの角を切り取った四角形 1" o:spid="_x0000_s1028" style="width:478.5pt;height:134.25pt;visibility:visible;mso-wrap-style:square;mso-left-percent:-10001;mso-top-percent:-10001;mso-position-horizontal:absolute;mso-position-horizontal-relative:char;mso-position-vertical:absolute;mso-position-vertical-relative:line;mso-left-percent:-10001;mso-top-percent:-10001;v-text-anchor:top" coordsize="6076950,1704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" adj="-11796480,,5400" path="m,l6027949,r49001,49001l6076950,1704975,,1704975,,xe" fillcolor="#a7bfde [1620]" strokecolor="#4579b8 [3044]">
                <v:fill color2="#e4ecf5 [500]" rotate="t" angle="180" colors="0 #a3c4ff;22938f #bfd5ff;1 #e5eeff" focus="100%" type="gradient"/>
                <v:stroke joinstyle="miter"/>
                <v:shadow on="t" color="black" opacity="24903f" origin=",.5" offset="0,.55556mm"/>
                <v:formulas/>
                <v:path arrowok="t" o:connecttype="custom" o:connectlocs="0,0;6027949,0;6076950,49001;6076950,1704975;0,1704975;0,0" o:connectangles="0,0,0,0,0,0" textboxrect="0,0,6076950,1704975"/>
                <v:textbox>
                  <w:txbxContent>
                    <w:p w:rsidR="00605581" w:rsidRDefault="004E2409" w:rsidP="006135CA">
                      <w:pPr>
                        <w:rPr>
                          <w:rFonts w:ascii="HG丸ｺﾞｼｯｸM-PRO" w:eastAsia="HG丸ｺﾞｼｯｸM-PRO" w:hAnsi="HG丸ｺﾞｼｯｸM-PRO" w:hint="eastAsia"/>
                          <w:b/>
                          <w:sz w:val="22"/>
                        </w:rPr>
                      </w:pPr>
                      <w:r>
                        <w:rPr>
                          <w:rFonts w:ascii="HG丸ｺﾞｼｯｸM-PRO" w:eastAsia="HG丸ｺﾞｼｯｸM-PRO" w:hAnsi="HG丸ｺﾞｼｯｸM-PRO" w:hint="eastAsia"/>
                          <w:b/>
                          <w:sz w:val="22"/>
                        </w:rPr>
                        <w:t xml:space="preserve">　</w:t>
                      </w:r>
                    </w:p>
                    <w:p w:rsidR="006135CA" w:rsidRDefault="00605581" w:rsidP="006135CA">
                      <w:pPr>
                        <w:ind w:firstLineChars="200" w:firstLine="442"/>
                        <w:rPr>
                          <w:rFonts w:ascii="HG丸ｺﾞｼｯｸM-PRO" w:eastAsia="HG丸ｺﾞｼｯｸM-PRO" w:hAnsi="HG丸ｺﾞｼｯｸM-PRO" w:hint="eastAsia"/>
                          <w:b/>
                          <w:sz w:val="22"/>
                        </w:rPr>
                      </w:pPr>
                      <w:r w:rsidRPr="006135CA">
                        <w:rPr>
                          <w:rFonts w:ascii="HG丸ｺﾞｼｯｸM-PRO" w:eastAsia="HG丸ｺﾞｼｯｸM-PRO" w:hAnsi="HG丸ｺﾞｼｯｸM-PRO" w:hint="eastAsia"/>
                          <w:b/>
                          <w:color w:val="FF0000"/>
                          <w:sz w:val="22"/>
                        </w:rPr>
                        <w:t>総硫黄</w:t>
                      </w:r>
                      <w:r w:rsidR="005B35EC">
                        <w:rPr>
                          <w:rFonts w:ascii="HG丸ｺﾞｼｯｸM-PRO" w:eastAsia="HG丸ｺﾞｼｯｸM-PRO" w:hAnsi="HG丸ｺﾞｼｯｸM-PRO" w:hint="eastAsia"/>
                          <w:b/>
                          <w:sz w:val="22"/>
                        </w:rPr>
                        <w:t>（硫化水素イオン、チオ</w:t>
                      </w:r>
                      <w:r>
                        <w:rPr>
                          <w:rFonts w:ascii="HG丸ｺﾞｼｯｸM-PRO" w:eastAsia="HG丸ｺﾞｼｯｸM-PRO" w:hAnsi="HG丸ｺﾞｼｯｸM-PRO" w:hint="eastAsia"/>
                          <w:b/>
                          <w:sz w:val="22"/>
                        </w:rPr>
                        <w:t>硫酸イオン及び遊離硫化水素に対応するもの）を</w:t>
                      </w:r>
                    </w:p>
                    <w:p w:rsidR="006135CA" w:rsidRDefault="00605581" w:rsidP="006135CA">
                      <w:pPr>
                        <w:ind w:firstLineChars="100" w:firstLine="221"/>
                        <w:rPr>
                          <w:rFonts w:ascii="HG丸ｺﾞｼｯｸM-PRO" w:eastAsia="HG丸ｺﾞｼｯｸM-PRO" w:hAnsi="HG丸ｺﾞｼｯｸM-PRO" w:hint="eastAsia"/>
                          <w:b/>
                          <w:sz w:val="22"/>
                        </w:rPr>
                      </w:pPr>
                      <w:r w:rsidRPr="006135CA">
                        <w:rPr>
                          <w:rFonts w:ascii="HG丸ｺﾞｼｯｸM-PRO" w:eastAsia="HG丸ｺﾞｼｯｸM-PRO" w:hAnsi="HG丸ｺﾞｼｯｸM-PRO" w:hint="eastAsia"/>
                          <w:b/>
                          <w:color w:val="FF0000"/>
                          <w:sz w:val="22"/>
                        </w:rPr>
                        <w:t>1キログラム中2ミリグラム以上含有する温泉</w:t>
                      </w:r>
                      <w:r>
                        <w:rPr>
                          <w:rFonts w:ascii="HG丸ｺﾞｼｯｸM-PRO" w:eastAsia="HG丸ｺﾞｼｯｸM-PRO" w:hAnsi="HG丸ｺﾞｼｯｸM-PRO" w:hint="eastAsia"/>
                          <w:b/>
                          <w:sz w:val="22"/>
                        </w:rPr>
                        <w:t>を、法第15条第1項の規定による</w:t>
                      </w:r>
                    </w:p>
                    <w:p w:rsidR="006135CA" w:rsidRDefault="00605581" w:rsidP="006135CA">
                      <w:pPr>
                        <w:ind w:firstLineChars="100" w:firstLine="221"/>
                        <w:rPr>
                          <w:rFonts w:ascii="HG丸ｺﾞｼｯｸM-PRO" w:eastAsia="HG丸ｺﾞｼｯｸM-PRO" w:hAnsi="HG丸ｺﾞｼｯｸM-PRO" w:hint="eastAsia"/>
                          <w:b/>
                          <w:sz w:val="22"/>
                        </w:rPr>
                      </w:pPr>
                      <w:r>
                        <w:rPr>
                          <w:rFonts w:ascii="HG丸ｺﾞｼｯｸM-PRO" w:eastAsia="HG丸ｺﾞｼｯｸM-PRO" w:hAnsi="HG丸ｺﾞｼｯｸM-PRO" w:hint="eastAsia"/>
                          <w:b/>
                          <w:sz w:val="22"/>
                        </w:rPr>
                        <w:t>許可を受けて公共の浴用又は飲用に供し、又は供しようとする者が順守すべき基準を</w:t>
                      </w:r>
                    </w:p>
                    <w:p w:rsidR="006135CA" w:rsidRDefault="00605581" w:rsidP="006135CA">
                      <w:pPr>
                        <w:ind w:firstLineChars="100" w:firstLine="221"/>
                        <w:rPr>
                          <w:rFonts w:ascii="HG丸ｺﾞｼｯｸM-PRO" w:eastAsia="HG丸ｺﾞｼｯｸM-PRO" w:hAnsi="HG丸ｺﾞｼｯｸM-PRO" w:hint="eastAsia"/>
                          <w:b/>
                          <w:sz w:val="22"/>
                        </w:rPr>
                      </w:pPr>
                      <w:r>
                        <w:rPr>
                          <w:rFonts w:ascii="HG丸ｺﾞｼｯｸM-PRO" w:eastAsia="HG丸ｺﾞｼｯｸM-PRO" w:hAnsi="HG丸ｺﾞｼｯｸM-PRO" w:hint="eastAsia"/>
                          <w:b/>
                          <w:sz w:val="22"/>
                        </w:rPr>
                        <w:t>定め、硫化水素が衛生上有害となった場合における事故の防止や利用者の安全確保を</w:t>
                      </w:r>
                    </w:p>
                    <w:p w:rsidR="004E2409" w:rsidRPr="004744B2" w:rsidRDefault="00605581" w:rsidP="006135CA">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図る。</w:t>
                      </w:r>
                    </w:p>
                  </w:txbxContent>
                </v:textbox>
                <w10:anchorlock/>
              </v:shape>
            </w:pict>
          </mc:Fallback>
        </mc:AlternateContent>
      </w:r>
    </w:p>
    <w:p w:rsidR="00FB1184" w:rsidRDefault="00FB1184" w:rsidP="006F5621">
      <w:pPr>
        <w:rPr>
          <w:rFonts w:asciiTheme="majorEastAsia" w:eastAsiaTheme="majorEastAsia" w:hAnsiTheme="majorEastAsia" w:hint="eastAsia"/>
          <w:sz w:val="22"/>
        </w:rPr>
      </w:pPr>
    </w:p>
    <w:p w:rsidR="00FB1184" w:rsidRDefault="00FB1184" w:rsidP="006F5621">
      <w:pPr>
        <w:rPr>
          <w:rFonts w:asciiTheme="majorEastAsia" w:eastAsiaTheme="majorEastAsia" w:hAnsiTheme="majorEastAsia" w:hint="eastAsia"/>
          <w:sz w:val="22"/>
        </w:rPr>
      </w:pPr>
    </w:p>
    <w:sectPr w:rsidR="00FB1184" w:rsidSect="002F3EB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C0E" w:rsidRDefault="00AE5C0E" w:rsidP="00D02201">
      <w:r>
        <w:separator/>
      </w:r>
    </w:p>
  </w:endnote>
  <w:endnote w:type="continuationSeparator" w:id="0">
    <w:p w:rsidR="00AE5C0E" w:rsidRDefault="00AE5C0E" w:rsidP="00D0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C0E" w:rsidRDefault="00AE5C0E" w:rsidP="00D02201">
      <w:r>
        <w:separator/>
      </w:r>
    </w:p>
  </w:footnote>
  <w:footnote w:type="continuationSeparator" w:id="0">
    <w:p w:rsidR="00AE5C0E" w:rsidRDefault="00AE5C0E" w:rsidP="00D02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C3D"/>
    <w:multiLevelType w:val="hybridMultilevel"/>
    <w:tmpl w:val="3F2AB156"/>
    <w:lvl w:ilvl="0" w:tplc="EE0A83CA">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nsid w:val="1E5257A2"/>
    <w:multiLevelType w:val="hybridMultilevel"/>
    <w:tmpl w:val="1450A28C"/>
    <w:lvl w:ilvl="0" w:tplc="EE0A83CA">
      <w:start w:val="1"/>
      <w:numFmt w:val="bullet"/>
      <w:lvlText w:val=""/>
      <w:lvlJc w:val="left"/>
      <w:pPr>
        <w:ind w:left="2100" w:hanging="420"/>
      </w:pPr>
      <w:rPr>
        <w:rFonts w:ascii="Wingdings" w:hAnsi="Wingdings" w:hint="default"/>
      </w:rPr>
    </w:lvl>
    <w:lvl w:ilvl="1" w:tplc="AB461B66">
      <w:numFmt w:val="bullet"/>
      <w:lvlText w:val="・"/>
      <w:lvlJc w:val="left"/>
      <w:pPr>
        <w:ind w:left="2460" w:hanging="360"/>
      </w:pPr>
      <w:rPr>
        <w:rFonts w:ascii="ＭＳ 明朝" w:eastAsia="ＭＳ 明朝" w:hAnsi="ＭＳ 明朝" w:cstheme="minorBidi" w:hint="eastAsia"/>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nsid w:val="2D6D61FF"/>
    <w:multiLevelType w:val="hybridMultilevel"/>
    <w:tmpl w:val="F198EA5E"/>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33895144"/>
    <w:multiLevelType w:val="hybridMultilevel"/>
    <w:tmpl w:val="CC3A56EE"/>
    <w:lvl w:ilvl="0" w:tplc="405C98DA">
      <w:start w:val="1"/>
      <w:numFmt w:val="bullet"/>
      <w:lvlText w:val="A"/>
      <w:lvlJc w:val="left"/>
      <w:pPr>
        <w:ind w:left="1260" w:hanging="420"/>
      </w:pPr>
      <w:rPr>
        <w:rFonts w:ascii="Arial Unicode MS" w:eastAsia="Arial Unicode MS" w:hAnsi="Arial Unicode M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3EA502A3"/>
    <w:multiLevelType w:val="hybridMultilevel"/>
    <w:tmpl w:val="0A9C528A"/>
    <w:lvl w:ilvl="0" w:tplc="2E92EC20">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462E0619"/>
    <w:multiLevelType w:val="hybridMultilevel"/>
    <w:tmpl w:val="1B46C8AC"/>
    <w:lvl w:ilvl="0" w:tplc="405C98DA">
      <w:start w:val="1"/>
      <w:numFmt w:val="bullet"/>
      <w:lvlText w:val="A"/>
      <w:lvlJc w:val="left"/>
      <w:pPr>
        <w:ind w:left="1260" w:hanging="420"/>
      </w:pPr>
      <w:rPr>
        <w:rFonts w:ascii="Arial Unicode MS" w:eastAsia="Arial Unicode MS" w:hAnsi="Arial Unicode M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nsid w:val="69176E5A"/>
    <w:multiLevelType w:val="hybridMultilevel"/>
    <w:tmpl w:val="7CE6F6D4"/>
    <w:lvl w:ilvl="0" w:tplc="EE0A83CA">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nsid w:val="767C3C38"/>
    <w:multiLevelType w:val="hybridMultilevel"/>
    <w:tmpl w:val="EE8872DA"/>
    <w:lvl w:ilvl="0" w:tplc="F8DA4EEE">
      <w:start w:val="1"/>
      <w:numFmt w:val="bullet"/>
      <w:lvlText w:val="Q"/>
      <w:lvlJc w:val="left"/>
      <w:pPr>
        <w:ind w:left="1260" w:hanging="420"/>
      </w:pPr>
      <w:rPr>
        <w:rFonts w:ascii="Arial Unicode MS" w:eastAsia="Arial Unicode MS" w:hAnsi="Arial Unicode M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nsid w:val="7FCD2B1D"/>
    <w:multiLevelType w:val="hybridMultilevel"/>
    <w:tmpl w:val="5B56673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7"/>
  </w:num>
  <w:num w:numId="6">
    <w:abstractNumId w:val="3"/>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58"/>
    <w:rsid w:val="0000039F"/>
    <w:rsid w:val="000055D3"/>
    <w:rsid w:val="00042536"/>
    <w:rsid w:val="0004306C"/>
    <w:rsid w:val="00055255"/>
    <w:rsid w:val="000A3481"/>
    <w:rsid w:val="000A6744"/>
    <w:rsid w:val="000B1342"/>
    <w:rsid w:val="000B7A28"/>
    <w:rsid w:val="000D33C1"/>
    <w:rsid w:val="00107755"/>
    <w:rsid w:val="00170C8E"/>
    <w:rsid w:val="00200B9F"/>
    <w:rsid w:val="00250844"/>
    <w:rsid w:val="002D040C"/>
    <w:rsid w:val="002F3EB2"/>
    <w:rsid w:val="00304B43"/>
    <w:rsid w:val="003A7052"/>
    <w:rsid w:val="003D2FEF"/>
    <w:rsid w:val="003F2B36"/>
    <w:rsid w:val="00442745"/>
    <w:rsid w:val="004450F3"/>
    <w:rsid w:val="004744B2"/>
    <w:rsid w:val="004D3D15"/>
    <w:rsid w:val="004E2409"/>
    <w:rsid w:val="005241B1"/>
    <w:rsid w:val="00536326"/>
    <w:rsid w:val="00556437"/>
    <w:rsid w:val="005579DD"/>
    <w:rsid w:val="00564B92"/>
    <w:rsid w:val="005B35EC"/>
    <w:rsid w:val="005B7EF8"/>
    <w:rsid w:val="00605581"/>
    <w:rsid w:val="006135CA"/>
    <w:rsid w:val="00673800"/>
    <w:rsid w:val="006858D1"/>
    <w:rsid w:val="006F5621"/>
    <w:rsid w:val="00767BAF"/>
    <w:rsid w:val="0077144E"/>
    <w:rsid w:val="007A7AE2"/>
    <w:rsid w:val="00852E1E"/>
    <w:rsid w:val="00856D5D"/>
    <w:rsid w:val="00892D4E"/>
    <w:rsid w:val="00977D5A"/>
    <w:rsid w:val="00A45347"/>
    <w:rsid w:val="00AC53AD"/>
    <w:rsid w:val="00AE5C0E"/>
    <w:rsid w:val="00AE6738"/>
    <w:rsid w:val="00B60658"/>
    <w:rsid w:val="00B65406"/>
    <w:rsid w:val="00B83B32"/>
    <w:rsid w:val="00BA62A0"/>
    <w:rsid w:val="00BB1868"/>
    <w:rsid w:val="00BE53F3"/>
    <w:rsid w:val="00C1608C"/>
    <w:rsid w:val="00C77BE1"/>
    <w:rsid w:val="00CB43AF"/>
    <w:rsid w:val="00CC27E2"/>
    <w:rsid w:val="00D02201"/>
    <w:rsid w:val="00D36982"/>
    <w:rsid w:val="00D62F54"/>
    <w:rsid w:val="00DC4AA3"/>
    <w:rsid w:val="00DF188E"/>
    <w:rsid w:val="00DF25A3"/>
    <w:rsid w:val="00E028F2"/>
    <w:rsid w:val="00E12DB0"/>
    <w:rsid w:val="00E24B85"/>
    <w:rsid w:val="00E477A3"/>
    <w:rsid w:val="00E85865"/>
    <w:rsid w:val="00ED6453"/>
    <w:rsid w:val="00F24212"/>
    <w:rsid w:val="00FB1184"/>
    <w:rsid w:val="00FC569E"/>
    <w:rsid w:val="00FF5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EB2"/>
    <w:pPr>
      <w:ind w:leftChars="400" w:left="840"/>
    </w:pPr>
  </w:style>
  <w:style w:type="paragraph" w:styleId="a4">
    <w:name w:val="header"/>
    <w:basedOn w:val="a"/>
    <w:link w:val="a5"/>
    <w:uiPriority w:val="99"/>
    <w:unhideWhenUsed/>
    <w:rsid w:val="00D02201"/>
    <w:pPr>
      <w:tabs>
        <w:tab w:val="center" w:pos="4252"/>
        <w:tab w:val="right" w:pos="8504"/>
      </w:tabs>
      <w:snapToGrid w:val="0"/>
    </w:pPr>
  </w:style>
  <w:style w:type="character" w:customStyle="1" w:styleId="a5">
    <w:name w:val="ヘッダー (文字)"/>
    <w:basedOn w:val="a0"/>
    <w:link w:val="a4"/>
    <w:uiPriority w:val="99"/>
    <w:rsid w:val="00D02201"/>
  </w:style>
  <w:style w:type="paragraph" w:styleId="a6">
    <w:name w:val="footer"/>
    <w:basedOn w:val="a"/>
    <w:link w:val="a7"/>
    <w:uiPriority w:val="99"/>
    <w:unhideWhenUsed/>
    <w:rsid w:val="00D02201"/>
    <w:pPr>
      <w:tabs>
        <w:tab w:val="center" w:pos="4252"/>
        <w:tab w:val="right" w:pos="8504"/>
      </w:tabs>
      <w:snapToGrid w:val="0"/>
    </w:pPr>
  </w:style>
  <w:style w:type="character" w:customStyle="1" w:styleId="a7">
    <w:name w:val="フッター (文字)"/>
    <w:basedOn w:val="a0"/>
    <w:link w:val="a6"/>
    <w:uiPriority w:val="99"/>
    <w:rsid w:val="00D02201"/>
  </w:style>
  <w:style w:type="paragraph" w:styleId="a8">
    <w:name w:val="Balloon Text"/>
    <w:basedOn w:val="a"/>
    <w:link w:val="a9"/>
    <w:uiPriority w:val="99"/>
    <w:semiHidden/>
    <w:unhideWhenUsed/>
    <w:rsid w:val="001077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7755"/>
    <w:rPr>
      <w:rFonts w:asciiTheme="majorHAnsi" w:eastAsiaTheme="majorEastAsia" w:hAnsiTheme="majorHAnsi" w:cstheme="majorBidi"/>
      <w:sz w:val="18"/>
      <w:szCs w:val="18"/>
    </w:rPr>
  </w:style>
  <w:style w:type="table" w:styleId="aa">
    <w:name w:val="Table Grid"/>
    <w:basedOn w:val="a1"/>
    <w:uiPriority w:val="59"/>
    <w:rsid w:val="00FF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EB2"/>
    <w:pPr>
      <w:ind w:leftChars="400" w:left="840"/>
    </w:pPr>
  </w:style>
  <w:style w:type="paragraph" w:styleId="a4">
    <w:name w:val="header"/>
    <w:basedOn w:val="a"/>
    <w:link w:val="a5"/>
    <w:uiPriority w:val="99"/>
    <w:unhideWhenUsed/>
    <w:rsid w:val="00D02201"/>
    <w:pPr>
      <w:tabs>
        <w:tab w:val="center" w:pos="4252"/>
        <w:tab w:val="right" w:pos="8504"/>
      </w:tabs>
      <w:snapToGrid w:val="0"/>
    </w:pPr>
  </w:style>
  <w:style w:type="character" w:customStyle="1" w:styleId="a5">
    <w:name w:val="ヘッダー (文字)"/>
    <w:basedOn w:val="a0"/>
    <w:link w:val="a4"/>
    <w:uiPriority w:val="99"/>
    <w:rsid w:val="00D02201"/>
  </w:style>
  <w:style w:type="paragraph" w:styleId="a6">
    <w:name w:val="footer"/>
    <w:basedOn w:val="a"/>
    <w:link w:val="a7"/>
    <w:uiPriority w:val="99"/>
    <w:unhideWhenUsed/>
    <w:rsid w:val="00D02201"/>
    <w:pPr>
      <w:tabs>
        <w:tab w:val="center" w:pos="4252"/>
        <w:tab w:val="right" w:pos="8504"/>
      </w:tabs>
      <w:snapToGrid w:val="0"/>
    </w:pPr>
  </w:style>
  <w:style w:type="character" w:customStyle="1" w:styleId="a7">
    <w:name w:val="フッター (文字)"/>
    <w:basedOn w:val="a0"/>
    <w:link w:val="a6"/>
    <w:uiPriority w:val="99"/>
    <w:rsid w:val="00D02201"/>
  </w:style>
  <w:style w:type="paragraph" w:styleId="a8">
    <w:name w:val="Balloon Text"/>
    <w:basedOn w:val="a"/>
    <w:link w:val="a9"/>
    <w:uiPriority w:val="99"/>
    <w:semiHidden/>
    <w:unhideWhenUsed/>
    <w:rsid w:val="001077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7755"/>
    <w:rPr>
      <w:rFonts w:asciiTheme="majorHAnsi" w:eastAsiaTheme="majorEastAsia" w:hAnsiTheme="majorHAnsi" w:cstheme="majorBidi"/>
      <w:sz w:val="18"/>
      <w:szCs w:val="18"/>
    </w:rPr>
  </w:style>
  <w:style w:type="table" w:styleId="aa">
    <w:name w:val="Table Grid"/>
    <w:basedOn w:val="a1"/>
    <w:uiPriority w:val="59"/>
    <w:rsid w:val="00FF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7B562-C327-4CB1-9A1C-97B4D8D2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辰巳　貞江</dc:creator>
  <cp:lastModifiedBy>HOSTNAME</cp:lastModifiedBy>
  <cp:revision>10</cp:revision>
  <cp:lastPrinted>2017-09-21T07:12:00Z</cp:lastPrinted>
  <dcterms:created xsi:type="dcterms:W3CDTF">2017-09-15T04:12:00Z</dcterms:created>
  <dcterms:modified xsi:type="dcterms:W3CDTF">2017-09-21T07:17:00Z</dcterms:modified>
</cp:coreProperties>
</file>