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E9" w:rsidRPr="000131E9" w:rsidRDefault="007C47C0">
      <w:pPr>
        <w:rPr>
          <w:rFonts w:ascii="HG丸ｺﾞｼｯｸM-PRO" w:eastAsia="HG丸ｺﾞｼｯｸM-PRO" w:hAnsi="HG丸ｺﾞｼｯｸM-PRO"/>
          <w:sz w:val="28"/>
        </w:rPr>
      </w:pPr>
      <w:r>
        <w:rPr>
          <w:noProof/>
        </w:rPr>
        <mc:AlternateContent>
          <mc:Choice Requires="wps">
            <w:drawing>
              <wp:anchor distT="0" distB="0" distL="114300" distR="114300" simplePos="0" relativeHeight="251659264" behindDoc="0" locked="0" layoutInCell="1" allowOverlap="1" wp14:anchorId="674371AE" wp14:editId="216D145A">
                <wp:simplePos x="0" y="0"/>
                <wp:positionH relativeFrom="column">
                  <wp:posOffset>5337810</wp:posOffset>
                </wp:positionH>
                <wp:positionV relativeFrom="paragraph">
                  <wp:posOffset>9525</wp:posOffset>
                </wp:positionV>
                <wp:extent cx="781050" cy="43815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C47C0" w:rsidRPr="007C47C0" w:rsidRDefault="00E60BEC" w:rsidP="007C47C0">
                            <w:pPr>
                              <w:pStyle w:val="Web"/>
                              <w:spacing w:before="0" w:beforeAutospacing="0" w:after="0" w:afterAutospacing="0"/>
                              <w:jc w:val="center"/>
                              <w:rPr>
                                <w:sz w:val="20"/>
                              </w:rPr>
                            </w:pPr>
                            <w:r>
                              <w:rPr>
                                <w:rFonts w:ascii="HG丸ｺﾞｼｯｸM-PRO" w:eastAsia="HG丸ｺﾞｼｯｸM-PRO" w:hAnsi="HG丸ｺﾞｼｯｸM-PRO" w:cstheme="minorBidi" w:hint="eastAsia"/>
                                <w:color w:val="000000" w:themeColor="dark1"/>
                                <w:sz w:val="28"/>
                                <w:szCs w:val="40"/>
                              </w:rPr>
                              <w:t>資料</w:t>
                            </w:r>
                            <w:r w:rsidR="00A96DAC">
                              <w:rPr>
                                <w:rFonts w:ascii="HG丸ｺﾞｼｯｸM-PRO" w:eastAsia="HG丸ｺﾞｼｯｸM-PRO" w:hAnsi="HG丸ｺﾞｼｯｸM-PRO" w:cstheme="minorBidi" w:hint="eastAsia"/>
                                <w:color w:val="000000" w:themeColor="dark1"/>
                                <w:sz w:val="28"/>
                                <w:szCs w:val="40"/>
                              </w:rPr>
                              <w:t>３</w:t>
                            </w:r>
                            <w:r w:rsidR="008C7AA8">
                              <w:rPr>
                                <w:rFonts w:ascii="HG丸ｺﾞｼｯｸM-PRO" w:eastAsia="HG丸ｺﾞｼｯｸM-PRO" w:hAnsi="HG丸ｺﾞｼｯｸM-PRO" w:cstheme="minorBidi" w:hint="eastAsia"/>
                                <w:color w:val="000000" w:themeColor="dark1"/>
                                <w:sz w:val="28"/>
                                <w:szCs w:val="40"/>
                              </w:rPr>
                              <w:t xml:space="preserve">　</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0.3pt;margin-top:.75pt;width:6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" fillcolor="white [3201]" strokecolor="black [3213]">
                <v:textbox inset="0,0,0,0">
                  <w:txbxContent>
                    <w:p w:rsidR="007C47C0" w:rsidRPr="007C47C0" w:rsidRDefault="00E60BEC" w:rsidP="007C47C0">
                      <w:pPr>
                        <w:pStyle w:val="Web"/>
                        <w:spacing w:before="0" w:beforeAutospacing="0" w:after="0" w:afterAutospacing="0"/>
                        <w:jc w:val="center"/>
                        <w:rPr>
                          <w:sz w:val="20"/>
                        </w:rPr>
                      </w:pPr>
                      <w:r>
                        <w:rPr>
                          <w:rFonts w:ascii="HG丸ｺﾞｼｯｸM-PRO" w:eastAsia="HG丸ｺﾞｼｯｸM-PRO" w:hAnsi="HG丸ｺﾞｼｯｸM-PRO" w:cstheme="minorBidi" w:hint="eastAsia"/>
                          <w:color w:val="000000" w:themeColor="dark1"/>
                          <w:sz w:val="28"/>
                          <w:szCs w:val="40"/>
                        </w:rPr>
                        <w:t>資料</w:t>
                      </w:r>
                      <w:r w:rsidR="00A96DAC">
                        <w:rPr>
                          <w:rFonts w:ascii="HG丸ｺﾞｼｯｸM-PRO" w:eastAsia="HG丸ｺﾞｼｯｸM-PRO" w:hAnsi="HG丸ｺﾞｼｯｸM-PRO" w:cstheme="minorBidi" w:hint="eastAsia"/>
                          <w:color w:val="000000" w:themeColor="dark1"/>
                          <w:sz w:val="28"/>
                          <w:szCs w:val="40"/>
                        </w:rPr>
                        <w:t>３</w:t>
                      </w:r>
                      <w:r w:rsidR="008C7AA8">
                        <w:rPr>
                          <w:rFonts w:ascii="HG丸ｺﾞｼｯｸM-PRO" w:eastAsia="HG丸ｺﾞｼｯｸM-PRO" w:hAnsi="HG丸ｺﾞｼｯｸM-PRO" w:cstheme="minorBidi" w:hint="eastAsia"/>
                          <w:color w:val="000000" w:themeColor="dark1"/>
                          <w:sz w:val="28"/>
                          <w:szCs w:val="40"/>
                        </w:rPr>
                        <w:t xml:space="preserve">　</w:t>
                      </w:r>
                    </w:p>
                  </w:txbxContent>
                </v:textbox>
              </v:shape>
            </w:pict>
          </mc:Fallback>
        </mc:AlternateContent>
      </w:r>
      <w:r w:rsidR="008C7AA8">
        <w:rPr>
          <w:rFonts w:ascii="HG丸ｺﾞｼｯｸM-PRO" w:eastAsia="HG丸ｺﾞｼｯｸM-PRO" w:hAnsi="HG丸ｺﾞｼｯｸM-PRO" w:hint="eastAsia"/>
          <w:sz w:val="28"/>
        </w:rPr>
        <w:t>第２期大阪府食の安全安心推進計画の変更</w:t>
      </w:r>
      <w:r w:rsidR="000131E9" w:rsidRPr="000131E9">
        <w:rPr>
          <w:rFonts w:ascii="HG丸ｺﾞｼｯｸM-PRO" w:eastAsia="HG丸ｺﾞｼｯｸM-PRO" w:hAnsi="HG丸ｺﾞｼｯｸM-PRO" w:hint="eastAsia"/>
          <w:sz w:val="28"/>
        </w:rPr>
        <w:t>箇所について</w:t>
      </w:r>
      <w:r w:rsidR="008C7AA8">
        <w:rPr>
          <w:rFonts w:ascii="HG丸ｺﾞｼｯｸM-PRO" w:eastAsia="HG丸ｺﾞｼｯｸM-PRO" w:hAnsi="HG丸ｺﾞｼｯｸM-PRO" w:hint="eastAsia"/>
          <w:sz w:val="28"/>
        </w:rPr>
        <w:t>（案）</w:t>
      </w:r>
    </w:p>
    <w:p w:rsidR="000131E9" w:rsidRPr="000131E9" w:rsidRDefault="001D201C">
      <w:pPr>
        <w:rPr>
          <w:rFonts w:ascii="HG丸ｺﾞｼｯｸM-PRO" w:eastAsia="HG丸ｺﾞｼｯｸM-PRO" w:hAnsi="HG丸ｺﾞｼｯｸM-PRO"/>
        </w:rPr>
      </w:pPr>
      <w:r>
        <w:rPr>
          <w:rFonts w:ascii="HG丸ｺﾞｼｯｸM-PRO" w:eastAsia="HG丸ｺﾞｼｯｸM-PRO" w:hAnsi="HG丸ｺﾞｼｯｸM-PRO" w:hint="eastAsia"/>
        </w:rPr>
        <w:t>第２期</w:t>
      </w:r>
      <w:r w:rsidRPr="001D201C">
        <w:rPr>
          <w:rFonts w:ascii="HG丸ｺﾞｼｯｸM-PRO" w:eastAsia="HG丸ｺﾞｼｯｸM-PRO" w:hAnsi="HG丸ｺﾞｼｯｸM-PRO" w:hint="eastAsia"/>
        </w:rPr>
        <w:t>大阪府食の安全安心推進計画の記載事項の修正は次のとおりです。</w:t>
      </w:r>
      <w:bookmarkStart w:id="0" w:name="_GoBack"/>
      <w:bookmarkEnd w:id="0"/>
    </w:p>
    <w:tbl>
      <w:tblPr>
        <w:tblpPr w:leftFromText="142" w:rightFromText="142" w:vertAnchor="page" w:horzAnchor="margin" w:tblpXSpec="center" w:tblpY="2656"/>
        <w:tblW w:w="9654" w:type="dxa"/>
        <w:tblCellMar>
          <w:left w:w="99" w:type="dxa"/>
          <w:right w:w="99" w:type="dxa"/>
        </w:tblCellMar>
        <w:tblLook w:val="04A0" w:firstRow="1" w:lastRow="0" w:firstColumn="1" w:lastColumn="0" w:noHBand="0" w:noVBand="1"/>
      </w:tblPr>
      <w:tblGrid>
        <w:gridCol w:w="1430"/>
        <w:gridCol w:w="8224"/>
      </w:tblGrid>
      <w:tr w:rsidR="000131E9" w:rsidRPr="000131E9" w:rsidTr="001D201C">
        <w:trPr>
          <w:trHeight w:val="930"/>
        </w:trPr>
        <w:tc>
          <w:tcPr>
            <w:tcW w:w="1430" w:type="dxa"/>
            <w:tcBorders>
              <w:top w:val="single" w:sz="12" w:space="0" w:color="auto"/>
              <w:left w:val="single" w:sz="12" w:space="0" w:color="auto"/>
              <w:bottom w:val="double" w:sz="4" w:space="0" w:color="auto"/>
              <w:right w:val="single" w:sz="8" w:space="0" w:color="auto"/>
            </w:tcBorders>
            <w:shd w:val="clear" w:color="auto" w:fill="auto"/>
            <w:vAlign w:val="center"/>
            <w:hideMark/>
          </w:tcPr>
          <w:p w:rsidR="000131E9" w:rsidRPr="000131E9" w:rsidRDefault="001D201C" w:rsidP="001D201C">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該当箇所①</w:t>
            </w:r>
          </w:p>
        </w:tc>
        <w:tc>
          <w:tcPr>
            <w:tcW w:w="8224" w:type="dxa"/>
            <w:tcBorders>
              <w:top w:val="single" w:sz="12" w:space="0" w:color="auto"/>
              <w:left w:val="nil"/>
              <w:bottom w:val="double" w:sz="4" w:space="0" w:color="auto"/>
              <w:right w:val="single" w:sz="12" w:space="0" w:color="auto"/>
            </w:tcBorders>
            <w:shd w:val="clear" w:color="auto" w:fill="auto"/>
            <w:noWrap/>
            <w:vAlign w:val="center"/>
            <w:hideMark/>
          </w:tcPr>
          <w:p w:rsidR="001D201C" w:rsidRDefault="001D201C" w:rsidP="000131E9">
            <w:pPr>
              <w:widowControl/>
              <w:jc w:val="left"/>
              <w:rPr>
                <w:rFonts w:ascii="HG丸ｺﾞｼｯｸM-PRO" w:eastAsia="HG丸ｺﾞｼｯｸM-PRO" w:hAnsi="HG丸ｺﾞｼｯｸM-PRO" w:cs="ＭＳ Ｐゴシック"/>
                <w:kern w:val="0"/>
                <w:sz w:val="22"/>
                <w:szCs w:val="28"/>
              </w:rPr>
            </w:pPr>
            <w:r w:rsidRPr="001D201C">
              <w:rPr>
                <w:rFonts w:ascii="HG丸ｺﾞｼｯｸM-PRO" w:eastAsia="HG丸ｺﾞｼｯｸM-PRO" w:hAnsi="HG丸ｺﾞｼｯｸM-PRO" w:cs="ＭＳ Ｐゴシック" w:hint="eastAsia"/>
                <w:kern w:val="0"/>
                <w:sz w:val="22"/>
                <w:szCs w:val="28"/>
              </w:rPr>
              <w:t>食の安全安心の確保に関する施策</w:t>
            </w:r>
          </w:p>
          <w:p w:rsidR="000131E9" w:rsidRPr="000131E9" w:rsidRDefault="000131E9" w:rsidP="000131E9">
            <w:pPr>
              <w:widowControl/>
              <w:jc w:val="left"/>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kern w:val="0"/>
                <w:sz w:val="22"/>
                <w:szCs w:val="28"/>
              </w:rPr>
              <w:t>１　生産から消費に至る各段階での食の安全性の確保</w:t>
            </w:r>
          </w:p>
          <w:p w:rsidR="000131E9" w:rsidRPr="000131E9" w:rsidRDefault="008C7AA8" w:rsidP="000131E9">
            <w:pPr>
              <w:widowControl/>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（２）食品等の試験検査</w:t>
            </w:r>
          </w:p>
          <w:p w:rsidR="000131E9" w:rsidRPr="007B3D5F" w:rsidRDefault="007B3D5F" w:rsidP="007B3D5F">
            <w:pPr>
              <w:widowControl/>
              <w:ind w:leftChars="100" w:left="430" w:hangingChars="100" w:hanging="220"/>
              <w:jc w:val="left"/>
              <w:rPr>
                <w:rFonts w:ascii="HG丸ｺﾞｼｯｸM-PRO" w:eastAsia="HG丸ｺﾞｼｯｸM-PRO" w:hAnsi="HG丸ｺﾞｼｯｸM-PRO" w:cs="ＭＳ Ｐゴシック"/>
                <w:bCs/>
                <w:kern w:val="0"/>
                <w:sz w:val="22"/>
                <w:szCs w:val="28"/>
              </w:rPr>
            </w:pPr>
            <w:r w:rsidRPr="007B3D5F">
              <w:rPr>
                <w:rFonts w:ascii="HG丸ｺﾞｼｯｸM-PRO" w:eastAsia="HG丸ｺﾞｼｯｸM-PRO" w:hAnsi="HG丸ｺﾞｼｯｸM-PRO" w:cs="ＭＳ Ｐゴシック" w:hint="eastAsia"/>
                <w:kern w:val="0"/>
                <w:sz w:val="22"/>
                <w:szCs w:val="28"/>
              </w:rPr>
              <w:t>⑧</w:t>
            </w:r>
            <w:r w:rsidRPr="007B3D5F">
              <w:rPr>
                <w:rFonts w:ascii="HG丸ｺﾞｼｯｸM-PRO" w:eastAsia="HG丸ｺﾞｼｯｸM-PRO" w:hAnsi="HG丸ｺﾞｼｯｸM-PRO" w:cs="ＭＳ Ｐゴシック" w:hint="eastAsia"/>
                <w:bCs/>
                <w:kern w:val="0"/>
                <w:sz w:val="22"/>
                <w:szCs w:val="28"/>
              </w:rPr>
              <w:t>貝毒の監視（食の安全推進課・水産課・保健所・公衆衛生研究所・地方独立行政法人大阪府立環境農林水産総合研究所）</w:t>
            </w:r>
          </w:p>
        </w:tc>
      </w:tr>
      <w:tr w:rsidR="000131E9" w:rsidRPr="000131E9" w:rsidTr="004C644A">
        <w:trPr>
          <w:trHeight w:val="5377"/>
        </w:trPr>
        <w:tc>
          <w:tcPr>
            <w:tcW w:w="1430" w:type="dxa"/>
            <w:tcBorders>
              <w:top w:val="double" w:sz="4" w:space="0" w:color="auto"/>
              <w:left w:val="single" w:sz="12" w:space="0" w:color="auto"/>
              <w:bottom w:val="single" w:sz="4" w:space="0" w:color="auto"/>
              <w:right w:val="single" w:sz="8" w:space="0" w:color="auto"/>
            </w:tcBorders>
            <w:shd w:val="clear" w:color="auto" w:fill="auto"/>
            <w:vAlign w:val="center"/>
            <w:hideMark/>
          </w:tcPr>
          <w:p w:rsidR="000131E9" w:rsidRPr="000131E9" w:rsidRDefault="000131E9" w:rsidP="000131E9">
            <w:pPr>
              <w:widowControl/>
              <w:jc w:val="center"/>
              <w:rPr>
                <w:rFonts w:ascii="HG丸ｺﾞｼｯｸM-PRO" w:eastAsia="HG丸ｺﾞｼｯｸM-PRO" w:hAnsi="HG丸ｺﾞｼｯｸM-PRO" w:cs="ＭＳ Ｐゴシック"/>
                <w:b/>
                <w:bCs/>
                <w:kern w:val="0"/>
                <w:sz w:val="22"/>
                <w:szCs w:val="28"/>
              </w:rPr>
            </w:pPr>
            <w:r w:rsidRPr="000131E9">
              <w:rPr>
                <w:rFonts w:ascii="HG丸ｺﾞｼｯｸM-PRO" w:eastAsia="HG丸ｺﾞｼｯｸM-PRO" w:hAnsi="HG丸ｺﾞｼｯｸM-PRO" w:cs="ＭＳ Ｐゴシック" w:hint="eastAsia"/>
                <w:b/>
                <w:bCs/>
                <w:kern w:val="0"/>
                <w:sz w:val="22"/>
                <w:szCs w:val="28"/>
              </w:rPr>
              <w:t>記載事項</w:t>
            </w:r>
          </w:p>
          <w:p w:rsidR="000131E9" w:rsidRPr="000131E9" w:rsidRDefault="000131E9" w:rsidP="000131E9">
            <w:pPr>
              <w:widowControl/>
              <w:jc w:val="center"/>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b/>
                <w:bCs/>
                <w:kern w:val="0"/>
                <w:sz w:val="22"/>
                <w:szCs w:val="28"/>
              </w:rPr>
              <w:t>（変更前）</w:t>
            </w:r>
          </w:p>
        </w:tc>
        <w:tc>
          <w:tcPr>
            <w:tcW w:w="8224" w:type="dxa"/>
            <w:tcBorders>
              <w:top w:val="double" w:sz="4" w:space="0" w:color="auto"/>
              <w:left w:val="nil"/>
              <w:bottom w:val="single" w:sz="4" w:space="0" w:color="auto"/>
              <w:right w:val="single" w:sz="12" w:space="0" w:color="auto"/>
            </w:tcBorders>
            <w:shd w:val="clear" w:color="auto" w:fill="auto"/>
            <w:vAlign w:val="center"/>
            <w:hideMark/>
          </w:tcPr>
          <w:p w:rsidR="007B3D5F" w:rsidRPr="007B3D5F" w:rsidRDefault="007B3D5F" w:rsidP="007B3D5F">
            <w:pPr>
              <w:widowControl/>
              <w:jc w:val="left"/>
              <w:rPr>
                <w:rFonts w:ascii="HG丸ｺﾞｼｯｸM-PRO" w:eastAsia="HG丸ｺﾞｼｯｸM-PRO" w:hAnsi="HG丸ｺﾞｼｯｸM-PRO" w:cs="ＭＳ Ｐゴシック"/>
                <w:kern w:val="0"/>
                <w:sz w:val="22"/>
                <w:szCs w:val="28"/>
              </w:rPr>
            </w:pPr>
            <w:r w:rsidRPr="007B3D5F">
              <w:rPr>
                <w:rFonts w:ascii="HG丸ｺﾞｼｯｸM-PRO" w:eastAsia="HG丸ｺﾞｼｯｸM-PRO" w:hAnsi="HG丸ｺﾞｼｯｸM-PRO" w:cs="ＭＳ Ｐゴシック" w:hint="eastAsia"/>
                <w:kern w:val="0"/>
                <w:sz w:val="22"/>
                <w:szCs w:val="28"/>
              </w:rPr>
              <w:t>【府の取組ポイント】</w:t>
            </w:r>
          </w:p>
          <w:p w:rsidR="007B3D5F" w:rsidRPr="007B3D5F" w:rsidRDefault="007B3D5F" w:rsidP="007B3D5F">
            <w:pPr>
              <w:widowControl/>
              <w:jc w:val="left"/>
              <w:rPr>
                <w:rFonts w:ascii="HG丸ｺﾞｼｯｸM-PRO" w:eastAsia="HG丸ｺﾞｼｯｸM-PRO" w:hAnsi="HG丸ｺﾞｼｯｸM-PRO" w:cs="ＭＳ Ｐゴシック"/>
                <w:kern w:val="0"/>
                <w:sz w:val="22"/>
                <w:szCs w:val="28"/>
              </w:rPr>
            </w:pPr>
            <w:r w:rsidRPr="007B3D5F">
              <w:rPr>
                <w:rFonts w:ascii="HG丸ｺﾞｼｯｸM-PRO" w:eastAsia="HG丸ｺﾞｼｯｸM-PRO" w:hAnsi="HG丸ｺﾞｼｯｸM-PRO" w:cs="ＭＳ Ｐゴシック" w:hint="eastAsia"/>
                <w:kern w:val="0"/>
                <w:sz w:val="22"/>
                <w:szCs w:val="28"/>
              </w:rPr>
              <w:t xml:space="preserve">　大阪湾における二枚貝を毒化させる恐れのあるプランクトンの発生状況を監視し、必要に応じて、アサリ、アカガイ、トリガイ、シジミの二枚貝の貝毒検査を実施します。</w:t>
            </w:r>
          </w:p>
          <w:p w:rsidR="007B3D5F" w:rsidRPr="00F03486" w:rsidRDefault="007B3D5F" w:rsidP="007B3D5F">
            <w:pPr>
              <w:widowControl/>
              <w:jc w:val="left"/>
              <w:rPr>
                <w:rFonts w:ascii="HG丸ｺﾞｼｯｸM-PRO" w:eastAsia="HG丸ｺﾞｼｯｸM-PRO" w:hAnsi="HG丸ｺﾞｼｯｸM-PRO" w:cs="ＭＳ Ｐゴシック"/>
                <w:kern w:val="0"/>
                <w:sz w:val="22"/>
                <w:szCs w:val="28"/>
              </w:rPr>
            </w:pPr>
            <w:r w:rsidRPr="007B3D5F">
              <w:rPr>
                <w:rFonts w:ascii="HG丸ｺﾞｼｯｸM-PRO" w:eastAsia="HG丸ｺﾞｼｯｸM-PRO" w:hAnsi="HG丸ｺﾞｼｯｸM-PRO" w:cs="ＭＳ Ｐゴシック" w:hint="eastAsia"/>
                <w:kern w:val="0"/>
                <w:sz w:val="22"/>
                <w:szCs w:val="28"/>
              </w:rPr>
              <w:t xml:space="preserve">　</w:t>
            </w:r>
            <w:r w:rsidRPr="00F03486">
              <w:rPr>
                <w:rFonts w:ascii="HG丸ｺﾞｼｯｸM-PRO" w:eastAsia="HG丸ｺﾞｼｯｸM-PRO" w:hAnsi="HG丸ｺﾞｼｯｸM-PRO" w:cs="ＭＳ Ｐゴシック" w:hint="eastAsia"/>
                <w:kern w:val="0"/>
                <w:sz w:val="22"/>
                <w:szCs w:val="28"/>
              </w:rPr>
              <w:t>さらに、「潮干狩り場における貝毒モニタリング検査事業」として、潮干狩りシーズン中の泉南地区潮干狩り場等における貝毒検査を3月～6月に毎月実施し、アサリの安全対策と大阪湾におけるアサリの毒化状況データの蓄積を行っていきます。</w:t>
            </w:r>
          </w:p>
          <w:p w:rsidR="00E24B4C" w:rsidRDefault="00E24B4C" w:rsidP="007B3D5F">
            <w:pPr>
              <w:widowControl/>
              <w:jc w:val="left"/>
              <w:rPr>
                <w:rFonts w:ascii="HG丸ｺﾞｼｯｸM-PRO" w:eastAsia="HG丸ｺﾞｼｯｸM-PRO" w:hAnsi="HG丸ｺﾞｼｯｸM-PRO" w:cs="ＭＳ Ｐゴシック"/>
                <w:kern w:val="0"/>
                <w:sz w:val="22"/>
                <w:szCs w:val="28"/>
              </w:rPr>
            </w:pPr>
          </w:p>
          <w:p w:rsidR="007B3D5F" w:rsidRDefault="007B3D5F" w:rsidP="007B3D5F">
            <w:pPr>
              <w:widowControl/>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【事業目標】</w:t>
            </w:r>
          </w:p>
          <w:tbl>
            <w:tblPr>
              <w:tblStyle w:val="a3"/>
              <w:tblpPr w:leftFromText="142" w:rightFromText="142" w:vertAnchor="text" w:horzAnchor="margin" w:tblpY="117"/>
              <w:tblOverlap w:val="never"/>
              <w:tblW w:w="7805" w:type="dxa"/>
              <w:tblCellMar>
                <w:left w:w="57" w:type="dxa"/>
                <w:right w:w="57" w:type="dxa"/>
              </w:tblCellMar>
              <w:tblLook w:val="04A0" w:firstRow="1" w:lastRow="0" w:firstColumn="1" w:lastColumn="0" w:noHBand="0" w:noVBand="1"/>
            </w:tblPr>
            <w:tblGrid>
              <w:gridCol w:w="2968"/>
              <w:gridCol w:w="1558"/>
              <w:gridCol w:w="1658"/>
              <w:gridCol w:w="1621"/>
            </w:tblGrid>
            <w:tr w:rsidR="00D8670F" w:rsidRPr="000131E9" w:rsidTr="00D8670F">
              <w:tc>
                <w:tcPr>
                  <w:tcW w:w="2968" w:type="dxa"/>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施策内容</w:t>
                  </w:r>
                </w:p>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（目標指標）</w:t>
                  </w:r>
                </w:p>
              </w:tc>
              <w:tc>
                <w:tcPr>
                  <w:tcW w:w="1558" w:type="dxa"/>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現状</w:t>
                  </w:r>
                </w:p>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（24年度見込）</w:t>
                  </w:r>
                </w:p>
              </w:tc>
              <w:tc>
                <w:tcPr>
                  <w:tcW w:w="1658" w:type="dxa"/>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目標</w:t>
                  </w:r>
                </w:p>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（25年度）</w:t>
                  </w:r>
                </w:p>
              </w:tc>
              <w:tc>
                <w:tcPr>
                  <w:tcW w:w="1621" w:type="dxa"/>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目標</w:t>
                  </w:r>
                </w:p>
                <w:p w:rsidR="00D8670F" w:rsidRPr="007B3D5F" w:rsidRDefault="00D8670F" w:rsidP="00D8670F">
                  <w:pPr>
                    <w:widowControl/>
                    <w:jc w:val="center"/>
                    <w:rPr>
                      <w:rFonts w:ascii="HG丸ｺﾞｼｯｸM-PRO" w:eastAsia="HG丸ｺﾞｼｯｸM-PRO" w:hAnsi="HG丸ｺﾞｼｯｸM-PRO" w:cs="ＭＳ Ｐゴシック"/>
                      <w:kern w:val="0"/>
                      <w:sz w:val="20"/>
                      <w:szCs w:val="28"/>
                    </w:rPr>
                  </w:pPr>
                  <w:r w:rsidRPr="007B3D5F">
                    <w:rPr>
                      <w:rFonts w:ascii="HG丸ｺﾞｼｯｸM-PRO" w:eastAsia="HG丸ｺﾞｼｯｸM-PRO" w:hAnsi="HG丸ｺﾞｼｯｸM-PRO" w:cs="ＭＳ Ｐゴシック" w:hint="eastAsia"/>
                      <w:kern w:val="0"/>
                      <w:sz w:val="20"/>
                      <w:szCs w:val="28"/>
                    </w:rPr>
                    <w:t>（29年度）</w:t>
                  </w:r>
                </w:p>
              </w:tc>
            </w:tr>
            <w:tr w:rsidR="00D8670F" w:rsidRPr="000131E9" w:rsidTr="00D8670F">
              <w:tc>
                <w:tcPr>
                  <w:tcW w:w="2968" w:type="dxa"/>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1"/>
                    </w:rPr>
                  </w:pPr>
                  <w:r w:rsidRPr="007B3D5F">
                    <w:rPr>
                      <w:rFonts w:ascii="HG丸ｺﾞｼｯｸM-PRO" w:eastAsia="HG丸ｺﾞｼｯｸM-PRO" w:hAnsi="HG丸ｺﾞｼｯｸM-PRO" w:cs="ＭＳ Ｐゴシック" w:hint="eastAsia"/>
                      <w:kern w:val="0"/>
                      <w:sz w:val="20"/>
                      <w:szCs w:val="21"/>
                    </w:rPr>
                    <w:t>アサリ</w:t>
                  </w:r>
                  <w:r w:rsidRPr="00F03486">
                    <w:rPr>
                      <w:rFonts w:ascii="HG丸ｺﾞｼｯｸM-PRO" w:eastAsia="HG丸ｺﾞｼｯｸM-PRO" w:hAnsi="HG丸ｺﾞｼｯｸM-PRO" w:cs="ＭＳ Ｐゴシック" w:hint="eastAsia"/>
                      <w:kern w:val="0"/>
                      <w:sz w:val="20"/>
                      <w:szCs w:val="21"/>
                    </w:rPr>
                    <w:t>の貝毒モニタリング</w:t>
                  </w:r>
                  <w:r w:rsidRPr="007B3D5F">
                    <w:rPr>
                      <w:rFonts w:ascii="HG丸ｺﾞｼｯｸM-PRO" w:eastAsia="HG丸ｺﾞｼｯｸM-PRO" w:hAnsi="HG丸ｺﾞｼｯｸM-PRO" w:cs="ＭＳ Ｐゴシック" w:hint="eastAsia"/>
                      <w:kern w:val="0"/>
                      <w:sz w:val="20"/>
                      <w:szCs w:val="21"/>
                    </w:rPr>
                    <w:t>検査</w:t>
                  </w:r>
                </w:p>
                <w:p w:rsidR="00D8670F" w:rsidRPr="007B3D5F" w:rsidRDefault="00D8670F" w:rsidP="00D8670F">
                  <w:pPr>
                    <w:widowControl/>
                    <w:jc w:val="center"/>
                    <w:rPr>
                      <w:rFonts w:ascii="HG丸ｺﾞｼｯｸM-PRO" w:eastAsia="HG丸ｺﾞｼｯｸM-PRO" w:hAnsi="HG丸ｺﾞｼｯｸM-PRO" w:cs="ＭＳ Ｐゴシック"/>
                      <w:kern w:val="0"/>
                      <w:sz w:val="20"/>
                      <w:szCs w:val="21"/>
                    </w:rPr>
                  </w:pPr>
                  <w:r w:rsidRPr="007B3D5F">
                    <w:rPr>
                      <w:rFonts w:ascii="HG丸ｺﾞｼｯｸM-PRO" w:eastAsia="HG丸ｺﾞｼｯｸM-PRO" w:hAnsi="HG丸ｺﾞｼｯｸM-PRO" w:cs="ＭＳ Ｐゴシック" w:hint="eastAsia"/>
                      <w:kern w:val="0"/>
                      <w:sz w:val="20"/>
                      <w:szCs w:val="21"/>
                    </w:rPr>
                    <w:t>（</w:t>
                  </w:r>
                  <w:r w:rsidRPr="0041775E">
                    <w:rPr>
                      <w:rFonts w:ascii="HG丸ｺﾞｼｯｸM-PRO" w:eastAsia="HG丸ｺﾞｼｯｸM-PRO" w:hAnsi="HG丸ｺﾞｼｯｸM-PRO" w:cs="ＭＳ Ｐゴシック" w:hint="eastAsia"/>
                      <w:kern w:val="0"/>
                      <w:sz w:val="20"/>
                      <w:szCs w:val="21"/>
                    </w:rPr>
                    <w:t>検査</w:t>
                  </w:r>
                  <w:r w:rsidRPr="007B3D5F">
                    <w:rPr>
                      <w:rFonts w:ascii="HG丸ｺﾞｼｯｸM-PRO" w:eastAsia="HG丸ｺﾞｼｯｸM-PRO" w:hAnsi="HG丸ｺﾞｼｯｸM-PRO" w:cs="ＭＳ Ｐゴシック" w:hint="eastAsia"/>
                      <w:kern w:val="0"/>
                      <w:sz w:val="20"/>
                      <w:szCs w:val="21"/>
                    </w:rPr>
                    <w:t>実施回数）</w:t>
                  </w:r>
                </w:p>
              </w:tc>
              <w:tc>
                <w:tcPr>
                  <w:tcW w:w="1558" w:type="dxa"/>
                  <w:vAlign w:val="center"/>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1"/>
                    </w:rPr>
                  </w:pPr>
                  <w:r w:rsidRPr="007B3D5F">
                    <w:rPr>
                      <w:rFonts w:ascii="HG丸ｺﾞｼｯｸM-PRO" w:eastAsia="HG丸ｺﾞｼｯｸM-PRO" w:hAnsi="HG丸ｺﾞｼｯｸM-PRO" w:cs="ＭＳ Ｐゴシック" w:hint="eastAsia"/>
                      <w:kern w:val="0"/>
                      <w:sz w:val="20"/>
                      <w:szCs w:val="21"/>
                    </w:rPr>
                    <w:t>5回/3～6月</w:t>
                  </w:r>
                </w:p>
              </w:tc>
              <w:tc>
                <w:tcPr>
                  <w:tcW w:w="1658" w:type="dxa"/>
                  <w:vAlign w:val="center"/>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1"/>
                    </w:rPr>
                  </w:pPr>
                  <w:r w:rsidRPr="007B3D5F">
                    <w:rPr>
                      <w:rFonts w:ascii="HG丸ｺﾞｼｯｸM-PRO" w:eastAsia="HG丸ｺﾞｼｯｸM-PRO" w:hAnsi="HG丸ｺﾞｼｯｸM-PRO" w:cs="ＭＳ Ｐゴシック" w:hint="eastAsia"/>
                      <w:kern w:val="0"/>
                      <w:sz w:val="20"/>
                      <w:szCs w:val="21"/>
                    </w:rPr>
                    <w:t>5回/3～6月</w:t>
                  </w:r>
                </w:p>
              </w:tc>
              <w:tc>
                <w:tcPr>
                  <w:tcW w:w="1621" w:type="dxa"/>
                  <w:vAlign w:val="center"/>
                </w:tcPr>
                <w:p w:rsidR="00D8670F" w:rsidRPr="007B3D5F" w:rsidRDefault="00D8670F" w:rsidP="00D8670F">
                  <w:pPr>
                    <w:widowControl/>
                    <w:jc w:val="center"/>
                    <w:rPr>
                      <w:rFonts w:ascii="HG丸ｺﾞｼｯｸM-PRO" w:eastAsia="HG丸ｺﾞｼｯｸM-PRO" w:hAnsi="HG丸ｺﾞｼｯｸM-PRO" w:cs="ＭＳ Ｐゴシック"/>
                      <w:kern w:val="0"/>
                      <w:sz w:val="20"/>
                      <w:szCs w:val="21"/>
                    </w:rPr>
                  </w:pPr>
                  <w:r w:rsidRPr="007B3D5F">
                    <w:rPr>
                      <w:rFonts w:ascii="HG丸ｺﾞｼｯｸM-PRO" w:eastAsia="HG丸ｺﾞｼｯｸM-PRO" w:hAnsi="HG丸ｺﾞｼｯｸM-PRO" w:cs="ＭＳ Ｐゴシック" w:hint="eastAsia"/>
                      <w:kern w:val="0"/>
                      <w:sz w:val="20"/>
                      <w:szCs w:val="21"/>
                    </w:rPr>
                    <w:t>5回/3～6月</w:t>
                  </w:r>
                </w:p>
              </w:tc>
            </w:tr>
          </w:tbl>
          <w:p w:rsidR="000131E9" w:rsidRPr="000131E9" w:rsidRDefault="000131E9" w:rsidP="007B3D5F">
            <w:pPr>
              <w:widowControl/>
              <w:jc w:val="left"/>
              <w:rPr>
                <w:rFonts w:ascii="HG丸ｺﾞｼｯｸM-PRO" w:eastAsia="HG丸ｺﾞｼｯｸM-PRO" w:hAnsi="HG丸ｺﾞｼｯｸM-PRO" w:cs="ＭＳ Ｐゴシック"/>
                <w:kern w:val="0"/>
                <w:sz w:val="22"/>
                <w:szCs w:val="28"/>
              </w:rPr>
            </w:pPr>
          </w:p>
        </w:tc>
      </w:tr>
      <w:tr w:rsidR="000131E9" w:rsidRPr="000131E9" w:rsidTr="004C644A">
        <w:trPr>
          <w:trHeight w:val="5953"/>
        </w:trPr>
        <w:tc>
          <w:tcPr>
            <w:tcW w:w="1430" w:type="dxa"/>
            <w:tcBorders>
              <w:top w:val="nil"/>
              <w:left w:val="single" w:sz="12" w:space="0" w:color="auto"/>
              <w:bottom w:val="single" w:sz="8" w:space="0" w:color="auto"/>
              <w:right w:val="single" w:sz="8" w:space="0" w:color="auto"/>
            </w:tcBorders>
            <w:shd w:val="clear" w:color="auto" w:fill="auto"/>
            <w:vAlign w:val="center"/>
          </w:tcPr>
          <w:p w:rsidR="000131E9" w:rsidRPr="000131E9" w:rsidRDefault="000131E9" w:rsidP="000131E9">
            <w:pPr>
              <w:widowControl/>
              <w:jc w:val="center"/>
              <w:rPr>
                <w:rFonts w:ascii="HG丸ｺﾞｼｯｸM-PRO" w:eastAsia="HG丸ｺﾞｼｯｸM-PRO" w:hAnsi="HG丸ｺﾞｼｯｸM-PRO" w:cs="ＭＳ Ｐゴシック"/>
                <w:b/>
                <w:bCs/>
                <w:kern w:val="0"/>
                <w:sz w:val="22"/>
                <w:szCs w:val="28"/>
              </w:rPr>
            </w:pPr>
            <w:r w:rsidRPr="000131E9">
              <w:rPr>
                <w:rFonts w:ascii="HG丸ｺﾞｼｯｸM-PRO" w:eastAsia="HG丸ｺﾞｼｯｸM-PRO" w:hAnsi="HG丸ｺﾞｼｯｸM-PRO" w:cs="ＭＳ Ｐゴシック" w:hint="eastAsia"/>
                <w:b/>
                <w:bCs/>
                <w:kern w:val="0"/>
                <w:sz w:val="22"/>
                <w:szCs w:val="28"/>
              </w:rPr>
              <w:t>記載事項</w:t>
            </w:r>
          </w:p>
          <w:p w:rsidR="000131E9" w:rsidRPr="000131E9" w:rsidRDefault="000131E9" w:rsidP="000131E9">
            <w:pPr>
              <w:widowControl/>
              <w:jc w:val="center"/>
              <w:rPr>
                <w:rFonts w:ascii="HG丸ｺﾞｼｯｸM-PRO" w:eastAsia="HG丸ｺﾞｼｯｸM-PRO" w:hAnsi="HG丸ｺﾞｼｯｸM-PRO" w:cs="ＭＳ Ｐゴシック"/>
                <w:kern w:val="0"/>
                <w:sz w:val="22"/>
                <w:szCs w:val="28"/>
              </w:rPr>
            </w:pPr>
            <w:r w:rsidRPr="000131E9">
              <w:rPr>
                <w:rFonts w:ascii="HG丸ｺﾞｼｯｸM-PRO" w:eastAsia="HG丸ｺﾞｼｯｸM-PRO" w:hAnsi="HG丸ｺﾞｼｯｸM-PRO" w:cs="ＭＳ Ｐゴシック" w:hint="eastAsia"/>
                <w:b/>
                <w:bCs/>
                <w:kern w:val="0"/>
                <w:sz w:val="22"/>
                <w:szCs w:val="28"/>
              </w:rPr>
              <w:t>（変更後）</w:t>
            </w:r>
          </w:p>
        </w:tc>
        <w:tc>
          <w:tcPr>
            <w:tcW w:w="8224" w:type="dxa"/>
            <w:tcBorders>
              <w:top w:val="nil"/>
              <w:left w:val="nil"/>
              <w:bottom w:val="single" w:sz="8" w:space="0" w:color="auto"/>
              <w:right w:val="single" w:sz="12" w:space="0" w:color="auto"/>
            </w:tcBorders>
            <w:shd w:val="clear" w:color="auto" w:fill="auto"/>
            <w:vAlign w:val="center"/>
          </w:tcPr>
          <w:p w:rsidR="004C644A" w:rsidRPr="00B108C8" w:rsidRDefault="004C644A" w:rsidP="004C644A">
            <w:pPr>
              <w:widowControl/>
              <w:jc w:val="left"/>
              <w:rPr>
                <w:rFonts w:ascii="HG丸ｺﾞｼｯｸM-PRO" w:eastAsia="HG丸ｺﾞｼｯｸM-PRO" w:hAnsi="HG丸ｺﾞｼｯｸM-PRO" w:cs="ＭＳ Ｐゴシック"/>
                <w:kern w:val="0"/>
                <w:sz w:val="22"/>
                <w:szCs w:val="28"/>
              </w:rPr>
            </w:pPr>
            <w:r w:rsidRPr="00B108C8">
              <w:rPr>
                <w:rFonts w:ascii="HG丸ｺﾞｼｯｸM-PRO" w:eastAsia="HG丸ｺﾞｼｯｸM-PRO" w:hAnsi="HG丸ｺﾞｼｯｸM-PRO" w:cs="ＭＳ Ｐゴシック" w:hint="eastAsia"/>
                <w:kern w:val="0"/>
                <w:sz w:val="22"/>
                <w:szCs w:val="28"/>
              </w:rPr>
              <w:t>【府の取組ポイント】</w:t>
            </w:r>
          </w:p>
          <w:p w:rsidR="004C644A" w:rsidRPr="004C644A" w:rsidRDefault="004C644A" w:rsidP="004C644A">
            <w:pPr>
              <w:widowControl/>
              <w:ind w:firstLineChars="100" w:firstLine="220"/>
              <w:jc w:val="left"/>
              <w:rPr>
                <w:rFonts w:ascii="HG丸ｺﾞｼｯｸM-PRO" w:eastAsia="HG丸ｺﾞｼｯｸM-PRO" w:hAnsi="HG丸ｺﾞｼｯｸM-PRO" w:cs="ＭＳ Ｐゴシック"/>
                <w:kern w:val="0"/>
                <w:sz w:val="22"/>
              </w:rPr>
            </w:pPr>
            <w:r w:rsidRPr="00AE75B2">
              <w:rPr>
                <w:rFonts w:ascii="HG丸ｺﾞｼｯｸM-PRO" w:eastAsia="HG丸ｺﾞｼｯｸM-PRO" w:hAnsi="HG丸ｺﾞｼｯｸM-PRO" w:cs="ＭＳ Ｐゴシック" w:hint="eastAsia"/>
                <w:color w:val="000000" w:themeColor="text1"/>
                <w:kern w:val="0"/>
                <w:sz w:val="22"/>
              </w:rPr>
              <w:t>大阪湾</w:t>
            </w:r>
            <w:r w:rsidR="009C72A9" w:rsidRPr="00F03486">
              <w:rPr>
                <w:rFonts w:ascii="HG丸ｺﾞｼｯｸM-PRO" w:eastAsia="HG丸ｺﾞｼｯｸM-PRO" w:hAnsi="HG丸ｺﾞｼｯｸM-PRO" w:cs="ＭＳ Ｐゴシック" w:hint="eastAsia"/>
                <w:color w:val="000000" w:themeColor="text1"/>
                <w:kern w:val="0"/>
                <w:sz w:val="22"/>
                <w:u w:val="double"/>
              </w:rPr>
              <w:t>及び淀川</w:t>
            </w:r>
            <w:r w:rsidRPr="00AE75B2">
              <w:rPr>
                <w:rFonts w:ascii="HG丸ｺﾞｼｯｸM-PRO" w:eastAsia="HG丸ｺﾞｼｯｸM-PRO" w:hAnsi="HG丸ｺﾞｼｯｸM-PRO" w:cs="ＭＳ Ｐゴシック" w:hint="eastAsia"/>
                <w:color w:val="000000" w:themeColor="text1"/>
                <w:kern w:val="0"/>
                <w:sz w:val="22"/>
              </w:rPr>
              <w:t>における二枚貝を毒化させる恐れのあるプランクトンの発生状況を監視し、</w:t>
            </w:r>
            <w:r w:rsidRPr="00F03486">
              <w:rPr>
                <w:rFonts w:ascii="HG丸ｺﾞｼｯｸM-PRO" w:eastAsia="HG丸ｺﾞｼｯｸM-PRO" w:hAnsi="HG丸ｺﾞｼｯｸM-PRO" w:hint="eastAsia"/>
                <w:sz w:val="22"/>
                <w:u w:val="double"/>
              </w:rPr>
              <w:t>規定値を超えるプランクトンの発生を認めた場合には、</w:t>
            </w:r>
            <w:r w:rsidRPr="00AE75B2">
              <w:rPr>
                <w:rFonts w:ascii="HG丸ｺﾞｼｯｸM-PRO" w:eastAsia="HG丸ｺﾞｼｯｸM-PRO" w:hAnsi="HG丸ｺﾞｼｯｸM-PRO" w:cs="ＭＳ Ｐゴシック" w:hint="eastAsia"/>
                <w:color w:val="000000" w:themeColor="text1"/>
                <w:kern w:val="0"/>
                <w:sz w:val="22"/>
              </w:rPr>
              <w:t>アサリ、アカガイ</w:t>
            </w:r>
            <w:r w:rsidRPr="004C644A">
              <w:rPr>
                <w:rFonts w:ascii="HG丸ｺﾞｼｯｸM-PRO" w:eastAsia="HG丸ｺﾞｼｯｸM-PRO" w:hAnsi="HG丸ｺﾞｼｯｸM-PRO" w:cs="ＭＳ Ｐゴシック" w:hint="eastAsia"/>
                <w:kern w:val="0"/>
                <w:sz w:val="22"/>
              </w:rPr>
              <w:t>、トリガイ、シジミの二枚貝の貝毒検査を実施します。</w:t>
            </w:r>
          </w:p>
          <w:p w:rsidR="004C644A" w:rsidRPr="00F03486" w:rsidRDefault="004C644A" w:rsidP="004C644A">
            <w:pPr>
              <w:pStyle w:val="aa"/>
              <w:ind w:firstLineChars="100" w:firstLine="220"/>
              <w:rPr>
                <w:rFonts w:ascii="HG丸ｺﾞｼｯｸM-PRO" w:eastAsia="HG丸ｺﾞｼｯｸM-PRO" w:hAnsi="HG丸ｺﾞｼｯｸM-PRO"/>
                <w:sz w:val="22"/>
                <w:szCs w:val="22"/>
                <w:u w:val="double"/>
              </w:rPr>
            </w:pPr>
            <w:r w:rsidRPr="00F03486">
              <w:rPr>
                <w:rFonts w:ascii="HG丸ｺﾞｼｯｸM-PRO" w:eastAsia="HG丸ｺﾞｼｯｸM-PRO" w:hAnsi="HG丸ｺﾞｼｯｸM-PRO" w:hint="eastAsia"/>
                <w:sz w:val="22"/>
                <w:szCs w:val="22"/>
                <w:u w:val="double"/>
              </w:rPr>
              <w:t>規制値を超える貝毒が検出された場合には、継続して検査するとともに関係機関と連携し、漁業関係者に対して出荷自主規制の指導、流通状況の調査及び自主回収の指導を行います。また、潮干狩りによるアサリ等の食中毒を防止するため、府民及び潮干狩り事業者に対し啓発指導を行います。</w:t>
            </w:r>
          </w:p>
          <w:p w:rsidR="004C644A" w:rsidRPr="004C644A" w:rsidRDefault="004C644A" w:rsidP="00F516A0">
            <w:pPr>
              <w:widowControl/>
              <w:jc w:val="left"/>
              <w:rPr>
                <w:rFonts w:ascii="HG丸ｺﾞｼｯｸM-PRO" w:eastAsia="HG丸ｺﾞｼｯｸM-PRO" w:hAnsi="HG丸ｺﾞｼｯｸM-PRO" w:cs="ＭＳ Ｐゴシック"/>
                <w:kern w:val="0"/>
                <w:sz w:val="22"/>
                <w:szCs w:val="28"/>
              </w:rPr>
            </w:pPr>
          </w:p>
          <w:p w:rsidR="00F516A0" w:rsidRPr="004C644A" w:rsidRDefault="00771344" w:rsidP="00F516A0">
            <w:pPr>
              <w:widowControl/>
              <w:jc w:val="left"/>
              <w:rPr>
                <w:rFonts w:ascii="HG丸ｺﾞｼｯｸM-PRO" w:eastAsia="HG丸ｺﾞｼｯｸM-PRO" w:hAnsi="HG丸ｺﾞｼｯｸM-PRO" w:cs="ＭＳ Ｐゴシック"/>
                <w:kern w:val="0"/>
                <w:sz w:val="22"/>
                <w:szCs w:val="28"/>
              </w:rPr>
            </w:pPr>
            <w:r w:rsidRPr="004C644A">
              <w:rPr>
                <w:rFonts w:ascii="HG丸ｺﾞｼｯｸM-PRO" w:eastAsia="HG丸ｺﾞｼｯｸM-PRO" w:hAnsi="HG丸ｺﾞｼｯｸM-PRO" w:cs="ＭＳ Ｐゴシック" w:hint="eastAsia"/>
                <w:kern w:val="0"/>
                <w:sz w:val="22"/>
                <w:szCs w:val="28"/>
              </w:rPr>
              <w:t>【事業目標】</w:t>
            </w:r>
          </w:p>
          <w:p w:rsidR="00B108C8" w:rsidRPr="00F03486" w:rsidRDefault="00BD56C3" w:rsidP="00F516A0">
            <w:pPr>
              <w:widowControl/>
              <w:jc w:val="left"/>
              <w:rPr>
                <w:rFonts w:ascii="HG丸ｺﾞｼｯｸM-PRO" w:eastAsia="HG丸ｺﾞｼｯｸM-PRO" w:hAnsi="HG丸ｺﾞｼｯｸM-PRO" w:cs="ＭＳ Ｐゴシック"/>
                <w:kern w:val="0"/>
                <w:sz w:val="22"/>
                <w:szCs w:val="28"/>
                <w:u w:val="double"/>
              </w:rPr>
            </w:pPr>
            <w:r w:rsidRPr="00F03486">
              <w:rPr>
                <w:rFonts w:ascii="HG丸ｺﾞｼｯｸM-PRO" w:eastAsia="HG丸ｺﾞｼｯｸM-PRO" w:hAnsi="HG丸ｺﾞｼｯｸM-PRO" w:cs="ＭＳ Ｐゴシック" w:hint="eastAsia"/>
                <w:kern w:val="0"/>
                <w:sz w:val="22"/>
                <w:szCs w:val="28"/>
                <w:u w:val="double"/>
              </w:rPr>
              <w:t>（</w:t>
            </w:r>
            <w:r w:rsidR="00A61659" w:rsidRPr="00F03486">
              <w:rPr>
                <w:rFonts w:ascii="HG丸ｺﾞｼｯｸM-PRO" w:eastAsia="HG丸ｺﾞｼｯｸM-PRO" w:hAnsi="HG丸ｺﾞｼｯｸM-PRO" w:cs="ＭＳ Ｐゴシック" w:hint="eastAsia"/>
                <w:kern w:val="0"/>
                <w:sz w:val="22"/>
                <w:szCs w:val="28"/>
                <w:u w:val="double"/>
              </w:rPr>
              <w:t xml:space="preserve">　</w:t>
            </w:r>
            <w:r w:rsidRPr="00F03486">
              <w:rPr>
                <w:rFonts w:ascii="HG丸ｺﾞｼｯｸM-PRO" w:eastAsia="HG丸ｺﾞｼｯｸM-PRO" w:hAnsi="HG丸ｺﾞｼｯｸM-PRO" w:cs="ＭＳ Ｐゴシック" w:hint="eastAsia"/>
                <w:kern w:val="0"/>
                <w:sz w:val="22"/>
                <w:szCs w:val="28"/>
                <w:u w:val="double"/>
              </w:rPr>
              <w:t>）</w:t>
            </w:r>
            <w:r w:rsidR="00A42951" w:rsidRPr="00F03486">
              <w:rPr>
                <w:rFonts w:ascii="HG丸ｺﾞｼｯｸM-PRO" w:eastAsia="HG丸ｺﾞｼｯｸM-PRO" w:hAnsi="HG丸ｺﾞｼｯｸM-PRO" w:cs="ＭＳ Ｐゴシック" w:hint="eastAsia"/>
                <w:kern w:val="0"/>
                <w:sz w:val="22"/>
                <w:szCs w:val="28"/>
                <w:u w:val="double"/>
              </w:rPr>
              <w:t>内は、</w:t>
            </w:r>
            <w:r w:rsidRPr="00F03486">
              <w:rPr>
                <w:rFonts w:ascii="HG丸ｺﾞｼｯｸM-PRO" w:eastAsia="HG丸ｺﾞｼｯｸM-PRO" w:hAnsi="HG丸ｺﾞｼｯｸM-PRO" w:cs="ＭＳ Ｐゴシック" w:hint="eastAsia"/>
                <w:kern w:val="0"/>
                <w:sz w:val="22"/>
                <w:szCs w:val="28"/>
                <w:u w:val="double"/>
              </w:rPr>
              <w:t>アサリの</w:t>
            </w:r>
            <w:r w:rsidR="00A61659" w:rsidRPr="00F03486">
              <w:rPr>
                <w:rFonts w:ascii="HG丸ｺﾞｼｯｸM-PRO" w:eastAsia="HG丸ｺﾞｼｯｸM-PRO" w:hAnsi="HG丸ｺﾞｼｯｸM-PRO" w:cs="ＭＳ Ｐゴシック" w:hint="eastAsia"/>
                <w:kern w:val="0"/>
                <w:sz w:val="22"/>
                <w:szCs w:val="28"/>
                <w:u w:val="double"/>
              </w:rPr>
              <w:t>貝毒</w:t>
            </w:r>
            <w:r w:rsidRPr="00F03486">
              <w:rPr>
                <w:rFonts w:ascii="HG丸ｺﾞｼｯｸM-PRO" w:eastAsia="HG丸ｺﾞｼｯｸM-PRO" w:hAnsi="HG丸ｺﾞｼｯｸM-PRO" w:cs="ＭＳ Ｐゴシック" w:hint="eastAsia"/>
                <w:kern w:val="0"/>
                <w:sz w:val="22"/>
                <w:szCs w:val="28"/>
                <w:u w:val="double"/>
              </w:rPr>
              <w:t>モニタリング検査</w:t>
            </w:r>
            <w:r w:rsidR="00E91A1F" w:rsidRPr="00F03486">
              <w:rPr>
                <w:rFonts w:ascii="HG丸ｺﾞｼｯｸM-PRO" w:eastAsia="HG丸ｺﾞｼｯｸM-PRO" w:hAnsi="HG丸ｺﾞｼｯｸM-PRO" w:cs="ＭＳ Ｐゴシック" w:hint="eastAsia"/>
                <w:kern w:val="0"/>
                <w:sz w:val="22"/>
                <w:szCs w:val="28"/>
                <w:u w:val="double"/>
              </w:rPr>
              <w:t>として実施した</w:t>
            </w:r>
            <w:r w:rsidR="004C644A" w:rsidRPr="00F03486">
              <w:rPr>
                <w:rFonts w:ascii="HG丸ｺﾞｼｯｸM-PRO" w:eastAsia="HG丸ｺﾞｼｯｸM-PRO" w:hAnsi="HG丸ｺﾞｼｯｸM-PRO" w:cs="ＭＳ Ｐゴシック" w:hint="eastAsia"/>
                <w:kern w:val="0"/>
                <w:sz w:val="22"/>
                <w:szCs w:val="28"/>
                <w:u w:val="double"/>
              </w:rPr>
              <w:t>回数</w:t>
            </w:r>
            <w:r w:rsidR="00A42951" w:rsidRPr="00F03486">
              <w:rPr>
                <w:rFonts w:ascii="HG丸ｺﾞｼｯｸM-PRO" w:eastAsia="HG丸ｺﾞｼｯｸM-PRO" w:hAnsi="HG丸ｺﾞｼｯｸM-PRO" w:cs="ＭＳ Ｐゴシック" w:hint="eastAsia"/>
                <w:kern w:val="0"/>
                <w:sz w:val="22"/>
                <w:szCs w:val="28"/>
                <w:u w:val="double"/>
              </w:rPr>
              <w:t>で内数</w:t>
            </w:r>
          </w:p>
          <w:tbl>
            <w:tblPr>
              <w:tblStyle w:val="a3"/>
              <w:tblpPr w:leftFromText="142" w:rightFromText="142" w:vertAnchor="text" w:horzAnchor="margin" w:tblpY="-242"/>
              <w:tblOverlap w:val="never"/>
              <w:tblW w:w="7805" w:type="dxa"/>
              <w:tblCellMar>
                <w:left w:w="57" w:type="dxa"/>
                <w:right w:w="57" w:type="dxa"/>
              </w:tblCellMar>
              <w:tblLook w:val="04A0" w:firstRow="1" w:lastRow="0" w:firstColumn="1" w:lastColumn="0" w:noHBand="0" w:noVBand="1"/>
            </w:tblPr>
            <w:tblGrid>
              <w:gridCol w:w="2968"/>
              <w:gridCol w:w="1558"/>
              <w:gridCol w:w="1658"/>
              <w:gridCol w:w="1621"/>
            </w:tblGrid>
            <w:tr w:rsidR="004C644A" w:rsidRPr="004C644A" w:rsidTr="00771344">
              <w:tc>
                <w:tcPr>
                  <w:tcW w:w="2968" w:type="dxa"/>
                </w:tcPr>
                <w:p w:rsidR="00771344" w:rsidRPr="004C644A" w:rsidRDefault="00771344" w:rsidP="00771344">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施策内容</w:t>
                  </w:r>
                </w:p>
                <w:p w:rsidR="00771344" w:rsidRPr="004C644A" w:rsidRDefault="00771344" w:rsidP="00771344">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（目標指標）</w:t>
                  </w:r>
                </w:p>
              </w:tc>
              <w:tc>
                <w:tcPr>
                  <w:tcW w:w="1558" w:type="dxa"/>
                </w:tcPr>
                <w:p w:rsidR="00771344" w:rsidRPr="00F03486" w:rsidRDefault="00E91A1F" w:rsidP="00771344">
                  <w:pPr>
                    <w:widowControl/>
                    <w:jc w:val="center"/>
                    <w:rPr>
                      <w:rFonts w:ascii="HG丸ｺﾞｼｯｸM-PRO" w:eastAsia="HG丸ｺﾞｼｯｸM-PRO" w:hAnsi="HG丸ｺﾞｼｯｸM-PRO" w:cs="ＭＳ Ｐゴシック"/>
                      <w:kern w:val="0"/>
                      <w:sz w:val="20"/>
                      <w:szCs w:val="28"/>
                      <w:u w:val="double"/>
                    </w:rPr>
                  </w:pPr>
                  <w:r w:rsidRPr="00F03486">
                    <w:rPr>
                      <w:rFonts w:ascii="HG丸ｺﾞｼｯｸM-PRO" w:eastAsia="HG丸ｺﾞｼｯｸM-PRO" w:hAnsi="HG丸ｺﾞｼｯｸM-PRO" w:cs="ＭＳ Ｐゴシック" w:hint="eastAsia"/>
                      <w:kern w:val="0"/>
                      <w:sz w:val="20"/>
                      <w:szCs w:val="28"/>
                      <w:u w:val="double"/>
                    </w:rPr>
                    <w:t>実績</w:t>
                  </w:r>
                </w:p>
                <w:p w:rsidR="00771344" w:rsidRPr="004C644A" w:rsidRDefault="00B50B66" w:rsidP="00B50B66">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（2４年度）</w:t>
                  </w:r>
                </w:p>
              </w:tc>
              <w:tc>
                <w:tcPr>
                  <w:tcW w:w="1658" w:type="dxa"/>
                </w:tcPr>
                <w:p w:rsidR="00771344" w:rsidRPr="00F03486" w:rsidRDefault="00E91A1F" w:rsidP="00771344">
                  <w:pPr>
                    <w:widowControl/>
                    <w:jc w:val="center"/>
                    <w:rPr>
                      <w:rFonts w:ascii="HG丸ｺﾞｼｯｸM-PRO" w:eastAsia="HG丸ｺﾞｼｯｸM-PRO" w:hAnsi="HG丸ｺﾞｼｯｸM-PRO" w:cs="ＭＳ Ｐゴシック"/>
                      <w:kern w:val="0"/>
                      <w:sz w:val="20"/>
                      <w:szCs w:val="28"/>
                      <w:u w:val="double"/>
                    </w:rPr>
                  </w:pPr>
                  <w:r w:rsidRPr="00F03486">
                    <w:rPr>
                      <w:rFonts w:ascii="HG丸ｺﾞｼｯｸM-PRO" w:eastAsia="HG丸ｺﾞｼｯｸM-PRO" w:hAnsi="HG丸ｺﾞｼｯｸM-PRO" w:cs="ＭＳ Ｐゴシック" w:hint="eastAsia"/>
                      <w:kern w:val="0"/>
                      <w:sz w:val="20"/>
                      <w:szCs w:val="28"/>
                      <w:u w:val="double"/>
                    </w:rPr>
                    <w:t>実績</w:t>
                  </w:r>
                </w:p>
                <w:p w:rsidR="00771344" w:rsidRPr="004C644A" w:rsidRDefault="00771344" w:rsidP="00771344">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（25年度）</w:t>
                  </w:r>
                </w:p>
              </w:tc>
              <w:tc>
                <w:tcPr>
                  <w:tcW w:w="1621" w:type="dxa"/>
                </w:tcPr>
                <w:p w:rsidR="00771344" w:rsidRPr="004C644A" w:rsidRDefault="00771344" w:rsidP="00771344">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目標</w:t>
                  </w:r>
                </w:p>
                <w:p w:rsidR="00771344" w:rsidRPr="004C644A" w:rsidRDefault="00771344" w:rsidP="00771344">
                  <w:pPr>
                    <w:widowControl/>
                    <w:jc w:val="center"/>
                    <w:rPr>
                      <w:rFonts w:ascii="HG丸ｺﾞｼｯｸM-PRO" w:eastAsia="HG丸ｺﾞｼｯｸM-PRO" w:hAnsi="HG丸ｺﾞｼｯｸM-PRO" w:cs="ＭＳ Ｐゴシック"/>
                      <w:kern w:val="0"/>
                      <w:sz w:val="20"/>
                      <w:szCs w:val="28"/>
                    </w:rPr>
                  </w:pPr>
                  <w:r w:rsidRPr="004C644A">
                    <w:rPr>
                      <w:rFonts w:ascii="HG丸ｺﾞｼｯｸM-PRO" w:eastAsia="HG丸ｺﾞｼｯｸM-PRO" w:hAnsi="HG丸ｺﾞｼｯｸM-PRO" w:cs="ＭＳ Ｐゴシック" w:hint="eastAsia"/>
                      <w:kern w:val="0"/>
                      <w:sz w:val="20"/>
                      <w:szCs w:val="28"/>
                    </w:rPr>
                    <w:t>（29年度）</w:t>
                  </w:r>
                </w:p>
              </w:tc>
            </w:tr>
            <w:tr w:rsidR="004C644A" w:rsidRPr="004C644A" w:rsidTr="00771344">
              <w:tc>
                <w:tcPr>
                  <w:tcW w:w="2968" w:type="dxa"/>
                </w:tcPr>
                <w:p w:rsidR="00771344" w:rsidRPr="004C644A" w:rsidRDefault="00813063" w:rsidP="00771344">
                  <w:pPr>
                    <w:widowControl/>
                    <w:jc w:val="center"/>
                    <w:rPr>
                      <w:rFonts w:ascii="HG丸ｺﾞｼｯｸM-PRO" w:eastAsia="HG丸ｺﾞｼｯｸM-PRO" w:hAnsi="HG丸ｺﾞｼｯｸM-PRO" w:cs="ＭＳ Ｐゴシック"/>
                      <w:kern w:val="0"/>
                      <w:sz w:val="20"/>
                      <w:szCs w:val="21"/>
                    </w:rPr>
                  </w:pPr>
                  <w:r w:rsidRPr="004C644A">
                    <w:rPr>
                      <w:rFonts w:ascii="HG丸ｺﾞｼｯｸM-PRO" w:eastAsia="HG丸ｺﾞｼｯｸM-PRO" w:hAnsi="HG丸ｺﾞｼｯｸM-PRO" w:cs="ＭＳ Ｐゴシック" w:hint="eastAsia"/>
                      <w:kern w:val="0"/>
                      <w:sz w:val="20"/>
                      <w:szCs w:val="21"/>
                    </w:rPr>
                    <w:t>アサリ</w:t>
                  </w:r>
                  <w:r w:rsidRPr="00F03486">
                    <w:rPr>
                      <w:rFonts w:ascii="HG丸ｺﾞｼｯｸM-PRO" w:eastAsia="HG丸ｺﾞｼｯｸM-PRO" w:hAnsi="HG丸ｺﾞｼｯｸM-PRO" w:cs="ＭＳ Ｐゴシック" w:hint="eastAsia"/>
                      <w:kern w:val="0"/>
                      <w:sz w:val="20"/>
                      <w:szCs w:val="21"/>
                      <w:u w:val="double"/>
                    </w:rPr>
                    <w:t>等</w:t>
                  </w:r>
                  <w:r w:rsidR="00771344" w:rsidRPr="00F03486">
                    <w:rPr>
                      <w:rFonts w:ascii="HG丸ｺﾞｼｯｸM-PRO" w:eastAsia="HG丸ｺﾞｼｯｸM-PRO" w:hAnsi="HG丸ｺﾞｼｯｸM-PRO" w:cs="ＭＳ Ｐゴシック" w:hint="eastAsia"/>
                      <w:kern w:val="0"/>
                      <w:sz w:val="20"/>
                      <w:szCs w:val="21"/>
                      <w:u w:val="double"/>
                    </w:rPr>
                    <w:t>貝毒</w:t>
                  </w:r>
                  <w:r w:rsidR="00771344" w:rsidRPr="004C644A">
                    <w:rPr>
                      <w:rFonts w:ascii="HG丸ｺﾞｼｯｸM-PRO" w:eastAsia="HG丸ｺﾞｼｯｸM-PRO" w:hAnsi="HG丸ｺﾞｼｯｸM-PRO" w:cs="ＭＳ Ｐゴシック" w:hint="eastAsia"/>
                      <w:kern w:val="0"/>
                      <w:sz w:val="20"/>
                      <w:szCs w:val="21"/>
                    </w:rPr>
                    <w:t>検査</w:t>
                  </w:r>
                </w:p>
                <w:p w:rsidR="00813063" w:rsidRPr="004C644A" w:rsidRDefault="00771344" w:rsidP="00813063">
                  <w:pPr>
                    <w:widowControl/>
                    <w:jc w:val="center"/>
                    <w:rPr>
                      <w:rFonts w:ascii="HG丸ｺﾞｼｯｸM-PRO" w:eastAsia="HG丸ｺﾞｼｯｸM-PRO" w:hAnsi="HG丸ｺﾞｼｯｸM-PRO" w:cs="ＭＳ Ｐゴシック"/>
                      <w:kern w:val="0"/>
                      <w:sz w:val="20"/>
                      <w:szCs w:val="21"/>
                    </w:rPr>
                  </w:pPr>
                  <w:r w:rsidRPr="004C644A">
                    <w:rPr>
                      <w:rFonts w:ascii="HG丸ｺﾞｼｯｸM-PRO" w:eastAsia="HG丸ｺﾞｼｯｸM-PRO" w:hAnsi="HG丸ｺﾞｼｯｸM-PRO" w:cs="ＭＳ Ｐゴシック" w:hint="eastAsia"/>
                      <w:kern w:val="0"/>
                      <w:sz w:val="20"/>
                      <w:szCs w:val="21"/>
                    </w:rPr>
                    <w:t>（検査実施回数）</w:t>
                  </w:r>
                </w:p>
              </w:tc>
              <w:tc>
                <w:tcPr>
                  <w:tcW w:w="1558" w:type="dxa"/>
                  <w:vAlign w:val="center"/>
                </w:tcPr>
                <w:p w:rsidR="00771344" w:rsidRPr="00F03486" w:rsidRDefault="00BD56C3" w:rsidP="00771344">
                  <w:pPr>
                    <w:widowControl/>
                    <w:jc w:val="center"/>
                    <w:rPr>
                      <w:rFonts w:ascii="HG丸ｺﾞｼｯｸM-PRO" w:eastAsia="HG丸ｺﾞｼｯｸM-PRO" w:hAnsi="HG丸ｺﾞｼｯｸM-PRO" w:cs="ＭＳ Ｐゴシック"/>
                      <w:kern w:val="0"/>
                      <w:sz w:val="20"/>
                      <w:szCs w:val="21"/>
                      <w:u w:val="double"/>
                    </w:rPr>
                  </w:pPr>
                  <w:r w:rsidRPr="00F03486">
                    <w:rPr>
                      <w:rFonts w:ascii="HG丸ｺﾞｼｯｸM-PRO" w:eastAsia="HG丸ｺﾞｼｯｸM-PRO" w:hAnsi="HG丸ｺﾞｼｯｸM-PRO" w:cs="ＭＳ Ｐゴシック" w:hint="eastAsia"/>
                      <w:kern w:val="0"/>
                      <w:sz w:val="20"/>
                      <w:szCs w:val="21"/>
                      <w:u w:val="double"/>
                    </w:rPr>
                    <w:t>5回（</w:t>
                  </w:r>
                  <w:r w:rsidR="00813063" w:rsidRPr="00F03486">
                    <w:rPr>
                      <w:rFonts w:ascii="HG丸ｺﾞｼｯｸM-PRO" w:eastAsia="HG丸ｺﾞｼｯｸM-PRO" w:hAnsi="HG丸ｺﾞｼｯｸM-PRO" w:cs="ＭＳ Ｐゴシック" w:hint="eastAsia"/>
                      <w:kern w:val="0"/>
                      <w:sz w:val="20"/>
                      <w:szCs w:val="21"/>
                      <w:u w:val="double"/>
                    </w:rPr>
                    <w:t>5</w:t>
                  </w:r>
                  <w:r w:rsidRPr="00F03486">
                    <w:rPr>
                      <w:rFonts w:ascii="HG丸ｺﾞｼｯｸM-PRO" w:eastAsia="HG丸ｺﾞｼｯｸM-PRO" w:hAnsi="HG丸ｺﾞｼｯｸM-PRO" w:cs="ＭＳ Ｐゴシック" w:hint="eastAsia"/>
                      <w:kern w:val="0"/>
                      <w:sz w:val="20"/>
                      <w:szCs w:val="21"/>
                      <w:u w:val="double"/>
                    </w:rPr>
                    <w:t>）</w:t>
                  </w:r>
                </w:p>
              </w:tc>
              <w:tc>
                <w:tcPr>
                  <w:tcW w:w="1658" w:type="dxa"/>
                  <w:vAlign w:val="center"/>
                </w:tcPr>
                <w:p w:rsidR="00771344" w:rsidRPr="00F03486" w:rsidRDefault="00BD56C3" w:rsidP="00771344">
                  <w:pPr>
                    <w:widowControl/>
                    <w:jc w:val="center"/>
                    <w:rPr>
                      <w:rFonts w:ascii="HG丸ｺﾞｼｯｸM-PRO" w:eastAsia="HG丸ｺﾞｼｯｸM-PRO" w:hAnsi="HG丸ｺﾞｼｯｸM-PRO" w:cs="ＭＳ Ｐゴシック"/>
                      <w:kern w:val="0"/>
                      <w:sz w:val="20"/>
                      <w:szCs w:val="21"/>
                      <w:u w:val="double"/>
                    </w:rPr>
                  </w:pPr>
                  <w:r w:rsidRPr="00F03486">
                    <w:rPr>
                      <w:rFonts w:ascii="HG丸ｺﾞｼｯｸM-PRO" w:eastAsia="HG丸ｺﾞｼｯｸM-PRO" w:hAnsi="HG丸ｺﾞｼｯｸM-PRO" w:cs="ＭＳ Ｐゴシック" w:hint="eastAsia"/>
                      <w:kern w:val="0"/>
                      <w:sz w:val="20"/>
                      <w:szCs w:val="21"/>
                      <w:u w:val="double"/>
                    </w:rPr>
                    <w:t>40</w:t>
                  </w:r>
                  <w:r w:rsidR="00813063" w:rsidRPr="00F03486">
                    <w:rPr>
                      <w:rFonts w:ascii="HG丸ｺﾞｼｯｸM-PRO" w:eastAsia="HG丸ｺﾞｼｯｸM-PRO" w:hAnsi="HG丸ｺﾞｼｯｸM-PRO" w:cs="ＭＳ Ｐゴシック" w:hint="eastAsia"/>
                      <w:kern w:val="0"/>
                      <w:sz w:val="20"/>
                      <w:szCs w:val="21"/>
                      <w:u w:val="double"/>
                    </w:rPr>
                    <w:t>回</w:t>
                  </w:r>
                  <w:r w:rsidRPr="00F03486">
                    <w:rPr>
                      <w:rFonts w:ascii="HG丸ｺﾞｼｯｸM-PRO" w:eastAsia="HG丸ｺﾞｼｯｸM-PRO" w:hAnsi="HG丸ｺﾞｼｯｸM-PRO" w:cs="ＭＳ Ｐゴシック" w:hint="eastAsia"/>
                      <w:kern w:val="0"/>
                      <w:sz w:val="20"/>
                      <w:szCs w:val="21"/>
                      <w:u w:val="double"/>
                    </w:rPr>
                    <w:t>（2）</w:t>
                  </w:r>
                </w:p>
              </w:tc>
              <w:tc>
                <w:tcPr>
                  <w:tcW w:w="1621" w:type="dxa"/>
                  <w:vAlign w:val="center"/>
                </w:tcPr>
                <w:p w:rsidR="00771344" w:rsidRPr="00F03486" w:rsidRDefault="00765960" w:rsidP="00771344">
                  <w:pPr>
                    <w:widowControl/>
                    <w:jc w:val="center"/>
                    <w:rPr>
                      <w:rFonts w:ascii="HG丸ｺﾞｼｯｸM-PRO" w:eastAsia="HG丸ｺﾞｼｯｸM-PRO" w:hAnsi="HG丸ｺﾞｼｯｸM-PRO" w:cs="ＭＳ Ｐゴシック"/>
                      <w:kern w:val="0"/>
                      <w:sz w:val="20"/>
                      <w:szCs w:val="21"/>
                      <w:u w:val="double"/>
                    </w:rPr>
                  </w:pPr>
                  <w:r w:rsidRPr="00F03486">
                    <w:rPr>
                      <w:rFonts w:ascii="HG丸ｺﾞｼｯｸM-PRO" w:eastAsia="HG丸ｺﾞｼｯｸM-PRO" w:hAnsi="HG丸ｺﾞｼｯｸM-PRO" w:cs="ＭＳ Ｐゴシック" w:hint="eastAsia"/>
                      <w:kern w:val="0"/>
                      <w:sz w:val="20"/>
                      <w:szCs w:val="21"/>
                      <w:u w:val="double"/>
                    </w:rPr>
                    <w:t>有害</w:t>
                  </w:r>
                  <w:r w:rsidR="00A42951" w:rsidRPr="00F03486">
                    <w:rPr>
                      <w:rFonts w:ascii="HG丸ｺﾞｼｯｸM-PRO" w:eastAsia="HG丸ｺﾞｼｯｸM-PRO" w:hAnsi="HG丸ｺﾞｼｯｸM-PRO" w:cs="ＭＳ Ｐゴシック" w:hint="eastAsia"/>
                      <w:kern w:val="0"/>
                      <w:sz w:val="20"/>
                      <w:szCs w:val="21"/>
                      <w:u w:val="double"/>
                    </w:rPr>
                    <w:t>ﾌﾟﾗﾝｸﾄﾝ</w:t>
                  </w:r>
                </w:p>
                <w:p w:rsidR="00A42951" w:rsidRPr="00F03486" w:rsidRDefault="00A42951" w:rsidP="00771344">
                  <w:pPr>
                    <w:widowControl/>
                    <w:jc w:val="center"/>
                    <w:rPr>
                      <w:rFonts w:ascii="HG丸ｺﾞｼｯｸM-PRO" w:eastAsia="HG丸ｺﾞｼｯｸM-PRO" w:hAnsi="HG丸ｺﾞｼｯｸM-PRO" w:cs="ＭＳ Ｐゴシック"/>
                      <w:kern w:val="0"/>
                      <w:sz w:val="20"/>
                      <w:szCs w:val="21"/>
                      <w:u w:val="double"/>
                    </w:rPr>
                  </w:pPr>
                  <w:r w:rsidRPr="00F03486">
                    <w:rPr>
                      <w:rFonts w:ascii="HG丸ｺﾞｼｯｸM-PRO" w:eastAsia="HG丸ｺﾞｼｯｸM-PRO" w:hAnsi="HG丸ｺﾞｼｯｸM-PRO" w:cs="ＭＳ Ｐゴシック" w:hint="eastAsia"/>
                      <w:kern w:val="0"/>
                      <w:sz w:val="20"/>
                      <w:szCs w:val="21"/>
                      <w:u w:val="double"/>
                    </w:rPr>
                    <w:t>発生時</w:t>
                  </w:r>
                  <w:r w:rsidR="00765960" w:rsidRPr="00F03486">
                    <w:rPr>
                      <w:rFonts w:ascii="HG丸ｺﾞｼｯｸM-PRO" w:eastAsia="HG丸ｺﾞｼｯｸM-PRO" w:hAnsi="HG丸ｺﾞｼｯｸM-PRO" w:cs="ＭＳ Ｐゴシック" w:hint="eastAsia"/>
                      <w:kern w:val="0"/>
                      <w:sz w:val="20"/>
                      <w:szCs w:val="21"/>
                      <w:u w:val="double"/>
                    </w:rPr>
                    <w:t>実施</w:t>
                  </w:r>
                </w:p>
              </w:tc>
            </w:tr>
          </w:tbl>
          <w:p w:rsidR="00B108C8" w:rsidRPr="004C644A" w:rsidRDefault="00B108C8" w:rsidP="004C644A">
            <w:pPr>
              <w:pStyle w:val="ac"/>
              <w:widowControl/>
              <w:ind w:leftChars="0" w:left="0" w:firstLineChars="300" w:firstLine="660"/>
              <w:jc w:val="left"/>
              <w:rPr>
                <w:rFonts w:ascii="HG丸ｺﾞｼｯｸM-PRO" w:eastAsia="HG丸ｺﾞｼｯｸM-PRO" w:hAnsi="HG丸ｺﾞｼｯｸM-PRO" w:cs="ＭＳ Ｐゴシック"/>
                <w:kern w:val="0"/>
                <w:sz w:val="22"/>
                <w:szCs w:val="28"/>
              </w:rPr>
            </w:pPr>
          </w:p>
        </w:tc>
      </w:tr>
    </w:tbl>
    <w:p w:rsidR="000131E9" w:rsidRPr="004C644A" w:rsidRDefault="000131E9" w:rsidP="004C644A">
      <w:pPr>
        <w:widowControl/>
        <w:jc w:val="left"/>
        <w:rPr>
          <w:rFonts w:ascii="HG丸ｺﾞｼｯｸM-PRO" w:eastAsia="HG丸ｺﾞｼｯｸM-PRO" w:hAnsi="HG丸ｺﾞｼｯｸM-PRO"/>
        </w:rPr>
      </w:pPr>
    </w:p>
    <w:sectPr w:rsidR="000131E9" w:rsidRPr="004C644A" w:rsidSect="008258E5">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5D" w:rsidRDefault="002C1F5D" w:rsidP="007B3D5F">
      <w:r>
        <w:separator/>
      </w:r>
    </w:p>
  </w:endnote>
  <w:endnote w:type="continuationSeparator" w:id="0">
    <w:p w:rsidR="002C1F5D" w:rsidRDefault="002C1F5D"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5D" w:rsidRDefault="002C1F5D" w:rsidP="007B3D5F">
      <w:r>
        <w:separator/>
      </w:r>
    </w:p>
  </w:footnote>
  <w:footnote w:type="continuationSeparator" w:id="0">
    <w:p w:rsidR="002C1F5D" w:rsidRDefault="002C1F5D" w:rsidP="007B3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C4"/>
    <w:rsid w:val="000131E9"/>
    <w:rsid w:val="000F6C60"/>
    <w:rsid w:val="001751DB"/>
    <w:rsid w:val="001D201C"/>
    <w:rsid w:val="00240CC4"/>
    <w:rsid w:val="00251284"/>
    <w:rsid w:val="002C1F5D"/>
    <w:rsid w:val="00310DB4"/>
    <w:rsid w:val="003B7421"/>
    <w:rsid w:val="003C201E"/>
    <w:rsid w:val="003F24D1"/>
    <w:rsid w:val="0041775E"/>
    <w:rsid w:val="00434A81"/>
    <w:rsid w:val="00482F49"/>
    <w:rsid w:val="004A3B70"/>
    <w:rsid w:val="004A3E6D"/>
    <w:rsid w:val="004C644A"/>
    <w:rsid w:val="00513C01"/>
    <w:rsid w:val="005205B4"/>
    <w:rsid w:val="00527643"/>
    <w:rsid w:val="005830F3"/>
    <w:rsid w:val="0064732C"/>
    <w:rsid w:val="0068112C"/>
    <w:rsid w:val="006F08C1"/>
    <w:rsid w:val="007030DE"/>
    <w:rsid w:val="00765960"/>
    <w:rsid w:val="00771344"/>
    <w:rsid w:val="007B3D5F"/>
    <w:rsid w:val="007C47C0"/>
    <w:rsid w:val="00813063"/>
    <w:rsid w:val="00824555"/>
    <w:rsid w:val="008258E5"/>
    <w:rsid w:val="008C7AA8"/>
    <w:rsid w:val="00927D70"/>
    <w:rsid w:val="009466B5"/>
    <w:rsid w:val="009B23B0"/>
    <w:rsid w:val="009C72A9"/>
    <w:rsid w:val="009F4FFC"/>
    <w:rsid w:val="00A42951"/>
    <w:rsid w:val="00A61659"/>
    <w:rsid w:val="00A96DAC"/>
    <w:rsid w:val="00AA3564"/>
    <w:rsid w:val="00AF23C2"/>
    <w:rsid w:val="00B0369A"/>
    <w:rsid w:val="00B108C8"/>
    <w:rsid w:val="00B50B66"/>
    <w:rsid w:val="00BD56C3"/>
    <w:rsid w:val="00C04880"/>
    <w:rsid w:val="00C26498"/>
    <w:rsid w:val="00C572AF"/>
    <w:rsid w:val="00C755C7"/>
    <w:rsid w:val="00C85205"/>
    <w:rsid w:val="00CE7214"/>
    <w:rsid w:val="00D03A5F"/>
    <w:rsid w:val="00D8670F"/>
    <w:rsid w:val="00DB318E"/>
    <w:rsid w:val="00E039BF"/>
    <w:rsid w:val="00E24B4C"/>
    <w:rsid w:val="00E60BEC"/>
    <w:rsid w:val="00E91A1F"/>
    <w:rsid w:val="00F03486"/>
    <w:rsid w:val="00F11FB0"/>
    <w:rsid w:val="00F516A0"/>
    <w:rsid w:val="00F57D27"/>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5308-D479-4C13-AC78-645F747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2015-02-05T06:17:00Z</cp:lastPrinted>
  <dcterms:created xsi:type="dcterms:W3CDTF">2015-01-28T01:52:00Z</dcterms:created>
  <dcterms:modified xsi:type="dcterms:W3CDTF">2015-02-05T06:17:00Z</dcterms:modified>
</cp:coreProperties>
</file>