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1DE" w:rsidRDefault="00E902A3" w:rsidP="004633D2">
      <w:pPr>
        <w:ind w:left="0" w:firstLineChars="300" w:firstLine="630"/>
      </w:pPr>
      <w:r w:rsidRPr="00E902A3">
        <w:rPr>
          <w:rFonts w:asciiTheme="minorHAnsi" w:eastAsiaTheme="minorEastAsia" w:hAnsiTheme="minorHAnsi" w:cs="Times New Roman"/>
          <w:noProof/>
          <w:color w:val="auto"/>
        </w:rPr>
        <mc:AlternateContent>
          <mc:Choice Requires="wps">
            <w:drawing>
              <wp:anchor distT="0" distB="0" distL="114300" distR="114300" simplePos="0" relativeHeight="251659264" behindDoc="0" locked="0" layoutInCell="1" allowOverlap="1" wp14:anchorId="174E5938" wp14:editId="33C1657A">
                <wp:simplePos x="0" y="0"/>
                <wp:positionH relativeFrom="column">
                  <wp:posOffset>4438650</wp:posOffset>
                </wp:positionH>
                <wp:positionV relativeFrom="paragraph">
                  <wp:posOffset>-537845</wp:posOffset>
                </wp:positionV>
                <wp:extent cx="1657350" cy="514350"/>
                <wp:effectExtent l="19050" t="19050" r="19050" b="19050"/>
                <wp:wrapNone/>
                <wp:docPr id="73" name="フローチャート: 代替処理 73"/>
                <wp:cNvGraphicFramePr/>
                <a:graphic xmlns:a="http://schemas.openxmlformats.org/drawingml/2006/main">
                  <a:graphicData uri="http://schemas.microsoft.com/office/word/2010/wordprocessingShape">
                    <wps:wsp>
                      <wps:cNvSpPr/>
                      <wps:spPr>
                        <a:xfrm>
                          <a:off x="0" y="0"/>
                          <a:ext cx="1657350" cy="514350"/>
                        </a:xfrm>
                        <a:prstGeom prst="flowChartAlternateProcess">
                          <a:avLst/>
                        </a:prstGeom>
                        <a:solidFill>
                          <a:sysClr val="window" lastClr="FFFFFF"/>
                        </a:solidFill>
                        <a:ln w="28575" cap="flat" cmpd="sng" algn="ctr">
                          <a:solidFill>
                            <a:srgbClr val="ED7D31"/>
                          </a:solidFill>
                          <a:prstDash val="solid"/>
                          <a:miter lim="800000"/>
                        </a:ln>
                        <a:effectLst/>
                      </wps:spPr>
                      <wps:txbx>
                        <w:txbxContent>
                          <w:p w:rsidR="00E902A3" w:rsidRPr="00AA33D0" w:rsidRDefault="00E902A3" w:rsidP="00E902A3">
                            <w:pPr>
                              <w:ind w:hanging="499"/>
                              <w:rPr>
                                <w:rFonts w:ascii="UD デジタル 教科書体 NP-B" w:eastAsia="UD デジタル 教科書体 NP-B"/>
                                <w:sz w:val="40"/>
                                <w:szCs w:val="44"/>
                              </w:rPr>
                            </w:pPr>
                            <w:bookmarkStart w:id="0" w:name="_GoBack"/>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２</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E593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3" o:spid="_x0000_s1026" type="#_x0000_t176" style="position:absolute;left:0;text-align:left;margin-left:349.5pt;margin-top:-42.35pt;width:130.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" fillcolor="window" strokecolor="#ed7d31" strokeweight="2.25pt">
                <v:textbox>
                  <w:txbxContent>
                    <w:p w:rsidR="00E902A3" w:rsidRPr="00AA33D0" w:rsidRDefault="00E902A3" w:rsidP="00E902A3">
                      <w:pPr>
                        <w:ind w:hanging="499"/>
                        <w:rPr>
                          <w:rFonts w:ascii="UD デジタル 教科書体 NP-B" w:eastAsia="UD デジタル 教科書体 NP-B"/>
                          <w:sz w:val="40"/>
                          <w:szCs w:val="44"/>
                        </w:rPr>
                      </w:pPr>
                      <w:bookmarkStart w:id="1" w:name="_GoBack"/>
                      <w:r>
                        <w:rPr>
                          <w:rFonts w:ascii="UD デジタル 教科書体 NP-B" w:eastAsia="UD デジタル 教科書体 NP-B" w:hint="eastAsia"/>
                          <w:sz w:val="40"/>
                          <w:szCs w:val="44"/>
                        </w:rPr>
                        <w:t>参考</w:t>
                      </w:r>
                      <w:r w:rsidRPr="00AA33D0">
                        <w:rPr>
                          <w:rFonts w:ascii="UD デジタル 教科書体 NP-B" w:eastAsia="UD デジタル 教科書体 NP-B" w:hint="eastAsia"/>
                          <w:sz w:val="40"/>
                          <w:szCs w:val="44"/>
                        </w:rPr>
                        <w:t>資料</w:t>
                      </w:r>
                      <w:r>
                        <w:rPr>
                          <w:rFonts w:ascii="UD デジタル 教科書体 NP-B" w:eastAsia="UD デジタル 教科書体 NP-B" w:hint="eastAsia"/>
                          <w:sz w:val="40"/>
                          <w:szCs w:val="44"/>
                        </w:rPr>
                        <w:t>２</w:t>
                      </w:r>
                      <w:bookmarkEnd w:id="1"/>
                    </w:p>
                  </w:txbxContent>
                </v:textbox>
              </v:shape>
            </w:pict>
          </mc:Fallback>
        </mc:AlternateContent>
      </w:r>
      <w:r w:rsidR="00114E7D">
        <w:t>○大阪府人権尊重の社会づくり条例</w:t>
      </w:r>
    </w:p>
    <w:p w:rsidR="004633D2" w:rsidRDefault="00114E7D" w:rsidP="004633D2">
      <w:pPr>
        <w:spacing w:after="0" w:line="244" w:lineRule="auto"/>
        <w:ind w:left="210" w:right="840" w:firstLine="0"/>
        <w:jc w:val="right"/>
      </w:pPr>
      <w:r>
        <w:t>平成十年十月三十日</w:t>
      </w:r>
    </w:p>
    <w:p w:rsidR="004633D2" w:rsidRDefault="00114E7D" w:rsidP="004633D2">
      <w:pPr>
        <w:spacing w:after="0" w:line="244" w:lineRule="auto"/>
        <w:ind w:left="210" w:right="840" w:firstLine="0"/>
        <w:jc w:val="right"/>
      </w:pPr>
      <w:r>
        <w:t>大阪府条例第四十二号</w:t>
      </w:r>
    </w:p>
    <w:p w:rsidR="004633D2" w:rsidRDefault="004633D2" w:rsidP="00114E7D">
      <w:pPr>
        <w:spacing w:after="0" w:line="244" w:lineRule="auto"/>
        <w:ind w:left="210" w:right="840" w:firstLine="0"/>
      </w:pPr>
    </w:p>
    <w:p w:rsidR="00114E7D" w:rsidRPr="004633D2" w:rsidRDefault="00114E7D" w:rsidP="004633D2">
      <w:pPr>
        <w:spacing w:after="0" w:line="244" w:lineRule="auto"/>
        <w:ind w:left="210" w:right="840" w:firstLine="0"/>
      </w:pPr>
      <w:r>
        <w:t>大阪府人権尊重の社会づくり条例をここに公布</w:t>
      </w:r>
      <w:r>
        <w:rPr>
          <w:rFonts w:hint="eastAsia"/>
        </w:rPr>
        <w:t>す</w:t>
      </w:r>
      <w:r>
        <w:t>る。</w:t>
      </w:r>
    </w:p>
    <w:p w:rsidR="00D361DE" w:rsidRDefault="00114E7D">
      <w:pPr>
        <w:ind w:left="640"/>
      </w:pPr>
      <w:r>
        <w:t>大阪府人権尊重の社会づくり条例</w:t>
      </w:r>
    </w:p>
    <w:p w:rsidR="00D361DE" w:rsidRDefault="00114E7D">
      <w:pPr>
        <w:ind w:left="-15" w:firstLine="210"/>
      </w:pPr>
      <w:r>
        <w:t>全ての人間が固有の尊厳を有し、かつ、基本的人権を享有することは、人類普遍の原理であり、世界人権宣言及び日本国憲法の理念とするところである。</w:t>
      </w:r>
    </w:p>
    <w:p w:rsidR="00D361DE" w:rsidRDefault="00114E7D">
      <w:pPr>
        <w:ind w:left="220"/>
      </w:pPr>
      <w:r>
        <w:t>かかる理念を社会において実現することは、私たち全ての願いであり、また責務でもある。</w:t>
      </w:r>
    </w:p>
    <w:p w:rsidR="00D361DE" w:rsidRDefault="00114E7D">
      <w:pPr>
        <w:ind w:left="-15" w:firstLine="210"/>
      </w:pPr>
      <w:r>
        <w:t>しかしながら、この地球上においては、今日もなお、社会的身分、人種、民族、信条、性別、障害があること等に起因する人権侵害が存在しており、また、我が国においても人権に関する諸課題が存在している。</w:t>
      </w:r>
    </w:p>
    <w:p w:rsidR="00D361DE" w:rsidRDefault="00114E7D">
      <w:pPr>
        <w:ind w:left="-15" w:firstLine="210"/>
      </w:pPr>
      <w:r>
        <w:t>さらに、私たち一人ひとりが人権を行使するに当たっては、社会の構成員としての責任を自覚し、かつ、他者の人権の尊重を念頭に置くべきであるという道理を、より一層浸透させていかなければならないという課題も存在している。</w:t>
      </w:r>
    </w:p>
    <w:p w:rsidR="00D361DE" w:rsidRDefault="00114E7D">
      <w:pPr>
        <w:ind w:left="-15" w:firstLine="210"/>
      </w:pPr>
      <w:r>
        <w:t>人権尊重の機運が国際的にも高まる中で、大阪が世界都市として発展していくためにも、私たち一人ひとりが命の尊さや人間の尊厳を認識し、全ての人の人権が尊重される豊かな社会を実現することが、今こそ必要とされている。</w:t>
      </w:r>
    </w:p>
    <w:p w:rsidR="00D361DE" w:rsidRDefault="00114E7D">
      <w:pPr>
        <w:ind w:left="-15" w:firstLine="210"/>
      </w:pPr>
      <w:r>
        <w:t>私たち一人ひとりが、こうした人権尊重の社会づくりを進めるために、たゆまぬ努力を傾けることを決意し、この条例を制定する。</w:t>
      </w:r>
    </w:p>
    <w:p w:rsidR="00D361DE" w:rsidRDefault="00114E7D">
      <w:pPr>
        <w:ind w:left="851"/>
      </w:pPr>
      <w:r>
        <w:t>(令元条例二三・一部改正)</w:t>
      </w:r>
    </w:p>
    <w:p w:rsidR="00D361DE" w:rsidRDefault="00114E7D">
      <w:pPr>
        <w:ind w:left="220"/>
      </w:pPr>
      <w:r>
        <w:t>(目的)</w:t>
      </w:r>
    </w:p>
    <w:p w:rsidR="00D361DE" w:rsidRDefault="00114E7D">
      <w:pPr>
        <w:ind w:left="195" w:hanging="210"/>
      </w:pPr>
      <w:r>
        <w:t>第一条　この条例は、人権尊重の社会づくりに関する府、府民及び事業者の責務を明らかにするとともに、府民の人権意識の高揚を図るための施策及び人権擁護に資する施策(以下「人権施策」という。)の推進の基本となる事項を定め、これに基づき人権施策を実施し、もって全ての人の人権が尊重される豊かな社会の実現を図ることを目的とする。</w:t>
      </w:r>
    </w:p>
    <w:p w:rsidR="00D361DE" w:rsidRDefault="00114E7D">
      <w:pPr>
        <w:ind w:left="851"/>
      </w:pPr>
      <w:r>
        <w:t>(令元条例二三・一部改正)</w:t>
      </w:r>
    </w:p>
    <w:p w:rsidR="00D361DE" w:rsidRDefault="00114E7D">
      <w:pPr>
        <w:ind w:left="220"/>
      </w:pPr>
      <w:r>
        <w:t>(府の責務)</w:t>
      </w:r>
    </w:p>
    <w:p w:rsidR="00D361DE" w:rsidRDefault="00114E7D">
      <w:pPr>
        <w:ind w:left="195" w:hanging="210"/>
      </w:pPr>
      <w:r>
        <w:t>第二条　府は、</w:t>
      </w:r>
      <w:r w:rsidR="000F7C03">
        <w:rPr>
          <w:rFonts w:hint="eastAsia"/>
        </w:rPr>
        <w:t>前条</w:t>
      </w:r>
      <w:r>
        <w:t>の目的を達成するため、施策を実施するに当たって人権尊重の社会づくりに資するよう努めるとともに、人権施策を積極的に推進するものとする。</w:t>
      </w:r>
    </w:p>
    <w:p w:rsidR="00D361DE" w:rsidRDefault="00114E7D">
      <w:pPr>
        <w:ind w:left="195" w:hanging="210"/>
      </w:pPr>
      <w:r>
        <w:t>2　府は、人権施策の推進に当たっては、国及び市町村との連絡調整を緊密に行うとともに、市町村、事業者及び府民との協働により、人権尊重の社会づくりを積極的に推進するための体制を整備するものとする。</w:t>
      </w:r>
    </w:p>
    <w:p w:rsidR="00D361DE" w:rsidRDefault="00114E7D">
      <w:pPr>
        <w:ind w:left="220"/>
      </w:pPr>
      <w:r>
        <w:t>(府民の責務)</w:t>
      </w:r>
    </w:p>
    <w:p w:rsidR="00D361DE" w:rsidRDefault="00114E7D">
      <w:pPr>
        <w:ind w:left="195" w:hanging="210"/>
      </w:pPr>
      <w:r>
        <w:t>第三条　府民は、人権尊重の社会づくりの推進について理解を深めるとともに、府が実施する人権施策の推進に協力するよう努めるものとする。</w:t>
      </w:r>
    </w:p>
    <w:p w:rsidR="00D361DE" w:rsidRDefault="00114E7D">
      <w:pPr>
        <w:ind w:left="851"/>
      </w:pPr>
      <w:r>
        <w:t>(令元条例二三・追加)</w:t>
      </w:r>
    </w:p>
    <w:p w:rsidR="00D361DE" w:rsidRDefault="00114E7D">
      <w:pPr>
        <w:ind w:left="220"/>
      </w:pPr>
      <w:r>
        <w:t>(事業者の責務)</w:t>
      </w:r>
    </w:p>
    <w:p w:rsidR="00D361DE" w:rsidRDefault="00114E7D">
      <w:pPr>
        <w:ind w:left="195" w:hanging="210"/>
      </w:pPr>
      <w:r>
        <w:t>第四条　事業者は、人権尊重の社会づくりの推進について理解を深め、その事業活動を行うに当たり、人権尊重のための取組を推進するとともに、府が実施する人権施策の推進に協力するよう努めるものとする。</w:t>
      </w:r>
    </w:p>
    <w:p w:rsidR="00D361DE" w:rsidRDefault="00114E7D">
      <w:pPr>
        <w:ind w:left="851"/>
      </w:pPr>
      <w:r>
        <w:t>(令元条例二三・追加)</w:t>
      </w:r>
    </w:p>
    <w:p w:rsidR="00D361DE" w:rsidRDefault="00114E7D">
      <w:pPr>
        <w:ind w:left="220"/>
      </w:pPr>
      <w:r>
        <w:t>(基本方針の策定)</w:t>
      </w:r>
    </w:p>
    <w:p w:rsidR="00D361DE" w:rsidRDefault="00114E7D">
      <w:pPr>
        <w:ind w:left="195" w:hanging="210"/>
      </w:pPr>
      <w:r>
        <w:t>第五条　知事は、人権施策を総合的に推進するために必要な事項を定めた基本方針を策定しなければならない。</w:t>
      </w:r>
    </w:p>
    <w:p w:rsidR="00D361DE" w:rsidRDefault="00114E7D">
      <w:pPr>
        <w:numPr>
          <w:ilvl w:val="0"/>
          <w:numId w:val="1"/>
        </w:numPr>
        <w:ind w:hanging="315"/>
      </w:pPr>
      <w:r>
        <w:t>知事は、</w:t>
      </w:r>
      <w:r w:rsidR="000F7C03">
        <w:rPr>
          <w:rFonts w:hint="eastAsia"/>
        </w:rPr>
        <w:t>前項の</w:t>
      </w:r>
      <w:r>
        <w:t>基本方針を策定し、又は変更するときは、あらかじめ大阪府人権施策推進審議会(以下</w:t>
      </w:r>
    </w:p>
    <w:p w:rsidR="00D361DE" w:rsidRDefault="00114E7D">
      <w:pPr>
        <w:ind w:left="220"/>
      </w:pPr>
      <w:r>
        <w:t>「審議会」という。)に諮問の上、その答申を添えて府議会の意見を聴かなければならない。</w:t>
      </w:r>
    </w:p>
    <w:p w:rsidR="00D361DE" w:rsidRDefault="00114E7D">
      <w:pPr>
        <w:numPr>
          <w:ilvl w:val="0"/>
          <w:numId w:val="1"/>
        </w:numPr>
        <w:ind w:hanging="315"/>
      </w:pPr>
      <w:r>
        <w:t>知事は、</w:t>
      </w:r>
      <w:r w:rsidR="000F7C03">
        <w:rPr>
          <w:rFonts w:hint="eastAsia"/>
        </w:rPr>
        <w:t>前項の意見</w:t>
      </w:r>
      <w:r>
        <w:t>を勘案した上で、</w:t>
      </w:r>
      <w:r w:rsidR="000F7C03">
        <w:rPr>
          <w:rFonts w:hint="eastAsia"/>
        </w:rPr>
        <w:t>第一項目</w:t>
      </w:r>
      <w:r>
        <w:t>の基本方針を策定し、又は変更しなければならない。</w:t>
      </w:r>
    </w:p>
    <w:p w:rsidR="00D361DE" w:rsidRDefault="00114E7D">
      <w:pPr>
        <w:ind w:left="851"/>
      </w:pPr>
      <w:r>
        <w:t>(令元条例二三・旧第三条繰下)</w:t>
      </w:r>
    </w:p>
    <w:p w:rsidR="003E0387" w:rsidRDefault="00114E7D">
      <w:pPr>
        <w:ind w:left="-15" w:right="1216" w:firstLine="210"/>
      </w:pPr>
      <w:r>
        <w:lastRenderedPageBreak/>
        <w:t xml:space="preserve">(審議会への諮問等) </w:t>
      </w:r>
    </w:p>
    <w:p w:rsidR="00D361DE" w:rsidRDefault="00114E7D" w:rsidP="003E0387">
      <w:pPr>
        <w:ind w:left="-15" w:right="1216" w:firstLine="0"/>
      </w:pPr>
      <w:r>
        <w:t>第六条　審議会は、人権施策の推進に関し、知事の諮問に応じ、意見を述べることができる。</w:t>
      </w:r>
    </w:p>
    <w:p w:rsidR="00D361DE" w:rsidRDefault="00114E7D">
      <w:pPr>
        <w:ind w:left="-5"/>
      </w:pPr>
      <w:r>
        <w:t>2　審議会の会議は、原則として公開とする。</w:t>
      </w:r>
    </w:p>
    <w:p w:rsidR="00D361DE" w:rsidRDefault="00114E7D">
      <w:pPr>
        <w:ind w:left="630" w:right="6048" w:firstLine="210"/>
      </w:pPr>
      <w:r>
        <w:t>(令元条例二三・旧第四条繰下) 附 則</w:t>
      </w:r>
    </w:p>
    <w:p w:rsidR="00D361DE" w:rsidRDefault="00114E7D">
      <w:pPr>
        <w:ind w:left="220"/>
      </w:pPr>
      <w:r>
        <w:t>(施行期日)</w:t>
      </w:r>
    </w:p>
    <w:p w:rsidR="00D361DE" w:rsidRDefault="00114E7D">
      <w:pPr>
        <w:numPr>
          <w:ilvl w:val="0"/>
          <w:numId w:val="2"/>
        </w:numPr>
        <w:ind w:hanging="315"/>
      </w:pPr>
      <w:r>
        <w:t>この条例は、平成十年十一月一日から施行する。</w:t>
      </w:r>
    </w:p>
    <w:p w:rsidR="00D361DE" w:rsidRDefault="00114E7D">
      <w:pPr>
        <w:ind w:left="220"/>
      </w:pPr>
      <w:r>
        <w:t>(大阪府附属機関条例の一部改正)</w:t>
      </w:r>
    </w:p>
    <w:p w:rsidR="00D361DE" w:rsidRDefault="00114E7D">
      <w:pPr>
        <w:numPr>
          <w:ilvl w:val="0"/>
          <w:numId w:val="2"/>
        </w:numPr>
        <w:spacing w:after="0" w:line="259" w:lineRule="auto"/>
        <w:ind w:hanging="315"/>
      </w:pPr>
      <w:r w:rsidRPr="000F7C03">
        <w:rPr>
          <w:color w:val="000000" w:themeColor="text1"/>
          <w:u w:color="8A2BE2"/>
        </w:rPr>
        <w:t>大阪府附属機関条例(昭和二十七年大阪府条例第三十九号)</w:t>
      </w:r>
      <w:r>
        <w:t>の一部を次のように改正する。</w:t>
      </w:r>
    </w:p>
    <w:p w:rsidR="00D361DE" w:rsidRDefault="00114E7D">
      <w:pPr>
        <w:ind w:left="851"/>
      </w:pPr>
      <w:r>
        <w:t>〔次のよう〕略</w:t>
      </w:r>
    </w:p>
    <w:p w:rsidR="00D361DE" w:rsidRDefault="00114E7D">
      <w:pPr>
        <w:ind w:left="640"/>
      </w:pPr>
      <w:r>
        <w:t>附 則(令和元年条例第二三号)</w:t>
      </w:r>
    </w:p>
    <w:p w:rsidR="00D361DE" w:rsidRDefault="00114E7D">
      <w:pPr>
        <w:ind w:left="220"/>
      </w:pPr>
      <w:r>
        <w:t>(施行期日)</w:t>
      </w:r>
    </w:p>
    <w:p w:rsidR="00D361DE" w:rsidRDefault="00114E7D">
      <w:pPr>
        <w:numPr>
          <w:ilvl w:val="0"/>
          <w:numId w:val="3"/>
        </w:numPr>
        <w:ind w:hanging="315"/>
      </w:pPr>
      <w:r>
        <w:t>この条例は、公布の日から施行する。</w:t>
      </w:r>
    </w:p>
    <w:p w:rsidR="00D361DE" w:rsidRDefault="00114E7D">
      <w:pPr>
        <w:ind w:left="220"/>
      </w:pPr>
      <w:r>
        <w:t>(大阪府附属機関条例の一部改正)</w:t>
      </w:r>
    </w:p>
    <w:p w:rsidR="00D361DE" w:rsidRDefault="00114E7D">
      <w:pPr>
        <w:numPr>
          <w:ilvl w:val="0"/>
          <w:numId w:val="3"/>
        </w:numPr>
        <w:ind w:hanging="315"/>
      </w:pPr>
      <w:r>
        <w:t>大阪府附属機関条例(昭和二十七年大阪府条例第三十九号)の一部を次のように改正する。</w:t>
      </w:r>
    </w:p>
    <w:p w:rsidR="00D361DE" w:rsidRDefault="00114E7D">
      <w:pPr>
        <w:ind w:left="851"/>
      </w:pPr>
      <w:r>
        <w:t>〔次のよう〕略</w:t>
      </w:r>
    </w:p>
    <w:sectPr w:rsidR="00D361DE" w:rsidSect="00022196">
      <w:pgSz w:w="11899" w:h="16838"/>
      <w:pgMar w:top="1560" w:right="919" w:bottom="1276"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C03" w:rsidRDefault="000F7C03" w:rsidP="000F7C03">
      <w:pPr>
        <w:spacing w:after="0" w:line="240" w:lineRule="auto"/>
      </w:pPr>
      <w:r>
        <w:separator/>
      </w:r>
    </w:p>
  </w:endnote>
  <w:endnote w:type="continuationSeparator" w:id="0">
    <w:p w:rsidR="000F7C03" w:rsidRDefault="000F7C03" w:rsidP="000F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C03" w:rsidRDefault="000F7C03" w:rsidP="000F7C03">
      <w:pPr>
        <w:spacing w:after="0" w:line="240" w:lineRule="auto"/>
      </w:pPr>
      <w:r>
        <w:separator/>
      </w:r>
    </w:p>
  </w:footnote>
  <w:footnote w:type="continuationSeparator" w:id="0">
    <w:p w:rsidR="000F7C03" w:rsidRDefault="000F7C03" w:rsidP="000F7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537FD"/>
    <w:multiLevelType w:val="hybridMultilevel"/>
    <w:tmpl w:val="2464579C"/>
    <w:lvl w:ilvl="0" w:tplc="640A3180">
      <w:start w:val="1"/>
      <w:numFmt w:val="decimal"/>
      <w:lvlText w:val="%1"/>
      <w:lvlJc w:val="left"/>
      <w:pPr>
        <w:ind w:left="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E28857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16DD3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D4068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81E5B6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74A26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94E3EA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0A99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67C5CB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10932F3"/>
    <w:multiLevelType w:val="hybridMultilevel"/>
    <w:tmpl w:val="8592C978"/>
    <w:lvl w:ilvl="0" w:tplc="82B25C52">
      <w:start w:val="2"/>
      <w:numFmt w:val="decimal"/>
      <w:lvlText w:val="%1"/>
      <w:lvlJc w:val="left"/>
      <w:pPr>
        <w:ind w:left="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00935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305CF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F3AED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28EB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FE97B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CE4A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10EED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E2C4B8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66146DE"/>
    <w:multiLevelType w:val="hybridMultilevel"/>
    <w:tmpl w:val="C9AC615A"/>
    <w:lvl w:ilvl="0" w:tplc="471EBB4A">
      <w:start w:val="1"/>
      <w:numFmt w:val="decimal"/>
      <w:lvlText w:val="%1"/>
      <w:lvlJc w:val="left"/>
      <w:pPr>
        <w:ind w:left="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81F9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B8A13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AD3F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D7C978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BD6616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7453D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E6735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08D97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1DE"/>
    <w:rsid w:val="00022196"/>
    <w:rsid w:val="000F7C03"/>
    <w:rsid w:val="00114E7D"/>
    <w:rsid w:val="003E0387"/>
    <w:rsid w:val="004633D2"/>
    <w:rsid w:val="00D361DE"/>
    <w:rsid w:val="00E9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E8629D"/>
  <w15:docId w15:val="{77FE3EF9-5958-4E16-9998-52089F3C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48" w:lineRule="auto"/>
      <w:ind w:left="64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33D2"/>
  </w:style>
  <w:style w:type="character" w:customStyle="1" w:styleId="a4">
    <w:name w:val="日付 (文字)"/>
    <w:basedOn w:val="a0"/>
    <w:link w:val="a3"/>
    <w:uiPriority w:val="99"/>
    <w:semiHidden/>
    <w:rsid w:val="004633D2"/>
    <w:rPr>
      <w:rFonts w:ascii="ＭＳ 明朝" w:eastAsia="ＭＳ 明朝" w:hAnsi="ＭＳ 明朝" w:cs="ＭＳ 明朝"/>
      <w:color w:val="000000"/>
    </w:rPr>
  </w:style>
  <w:style w:type="paragraph" w:styleId="a5">
    <w:name w:val="header"/>
    <w:basedOn w:val="a"/>
    <w:link w:val="a6"/>
    <w:uiPriority w:val="99"/>
    <w:unhideWhenUsed/>
    <w:rsid w:val="000F7C03"/>
    <w:pPr>
      <w:tabs>
        <w:tab w:val="center" w:pos="4252"/>
        <w:tab w:val="right" w:pos="8504"/>
      </w:tabs>
      <w:snapToGrid w:val="0"/>
    </w:pPr>
  </w:style>
  <w:style w:type="character" w:customStyle="1" w:styleId="a6">
    <w:name w:val="ヘッダー (文字)"/>
    <w:basedOn w:val="a0"/>
    <w:link w:val="a5"/>
    <w:uiPriority w:val="99"/>
    <w:rsid w:val="000F7C03"/>
    <w:rPr>
      <w:rFonts w:ascii="ＭＳ 明朝" w:eastAsia="ＭＳ 明朝" w:hAnsi="ＭＳ 明朝" w:cs="ＭＳ 明朝"/>
      <w:color w:val="000000"/>
    </w:rPr>
  </w:style>
  <w:style w:type="paragraph" w:styleId="a7">
    <w:name w:val="footer"/>
    <w:basedOn w:val="a"/>
    <w:link w:val="a8"/>
    <w:uiPriority w:val="99"/>
    <w:unhideWhenUsed/>
    <w:rsid w:val="000F7C03"/>
    <w:pPr>
      <w:tabs>
        <w:tab w:val="center" w:pos="4252"/>
        <w:tab w:val="right" w:pos="8504"/>
      </w:tabs>
      <w:snapToGrid w:val="0"/>
    </w:pPr>
  </w:style>
  <w:style w:type="character" w:customStyle="1" w:styleId="a8">
    <w:name w:val="フッター (文字)"/>
    <w:basedOn w:val="a0"/>
    <w:link w:val="a7"/>
    <w:uiPriority w:val="99"/>
    <w:rsid w:val="000F7C03"/>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真邑</dc:creator>
  <cp:keywords/>
  <cp:lastModifiedBy>堀越　美幸</cp:lastModifiedBy>
  <cp:revision>7</cp:revision>
  <dcterms:created xsi:type="dcterms:W3CDTF">2023-06-02T08:48:00Z</dcterms:created>
  <dcterms:modified xsi:type="dcterms:W3CDTF">2023-06-20T10:03:00Z</dcterms:modified>
</cp:coreProperties>
</file>